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100b</w:t>
      </w:r>
      <w:r>
        <w:rPr>
          <w:rFonts w:eastAsia="宋体" w:cs="Arial"/>
          <w:b/>
          <w:sz w:val="22"/>
          <w:szCs w:val="22"/>
          <w:lang w:val="en-US" w:eastAsia="zh-CN"/>
        </w:rPr>
        <w:tab/>
      </w:r>
      <w:r>
        <w:rPr>
          <w:rFonts w:eastAsia="宋体" w:cs="Arial"/>
          <w:b/>
          <w:sz w:val="22"/>
          <w:szCs w:val="22"/>
          <w:lang w:val="sv-SE" w:eastAsia="zh-CN"/>
        </w:rPr>
        <w:t>R1-</w:t>
      </w:r>
      <w:r>
        <w:rPr>
          <w:rFonts w:hint="eastAsia" w:eastAsia="宋体" w:cs="Arial"/>
          <w:b/>
          <w:sz w:val="22"/>
          <w:szCs w:val="22"/>
          <w:lang w:val="en-US" w:eastAsia="zh-CN"/>
        </w:rPr>
        <w:t>2001718</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 xml:space="preserve">, </w:t>
      </w:r>
      <w:r>
        <w:rPr>
          <w:rFonts w:hint="eastAsia" w:eastAsia="宋体" w:cs="Arial"/>
          <w:b/>
          <w:bCs/>
          <w:sz w:val="22"/>
          <w:szCs w:val="22"/>
          <w:lang w:val="en-US" w:eastAsia="zh-CN"/>
        </w:rPr>
        <w:t>April 20</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30</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20</w:t>
      </w:r>
    </w:p>
    <w:p>
      <w:pPr>
        <w:pStyle w:val="94"/>
        <w:tabs>
          <w:tab w:val="right" w:pos="9639"/>
        </w:tabs>
        <w:spacing w:after="60" w:line="240" w:lineRule="auto"/>
        <w:jc w:val="both"/>
        <w:rPr>
          <w:rFonts w:eastAsia="宋体" w:cs="Arial"/>
          <w:b/>
          <w:sz w:val="22"/>
          <w:szCs w:val="22"/>
          <w:lang w:val="sv-SE" w:eastAsia="zh-CN"/>
        </w:rPr>
      </w:pPr>
    </w:p>
    <w:p>
      <w:pPr>
        <w:pStyle w:val="1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Discussion LS on random access procedure in NR-U</w:t>
      </w:r>
    </w:p>
    <w:p>
      <w:pPr>
        <w:pStyle w:val="1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1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5</w:t>
      </w:r>
    </w:p>
    <w:p>
      <w:pPr>
        <w:pStyle w:val="1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eastAsia" w:eastAsia="宋体"/>
          <w:lang w:val="en-US" w:eastAsia="zh-CN"/>
        </w:rPr>
      </w:pPr>
      <w:bookmarkStart w:id="1" w:name="OLE_LINK16"/>
      <w:bookmarkStart w:id="2" w:name="OLE_LINK15"/>
      <w:bookmarkStart w:id="3" w:name="OLE_LINK1"/>
      <w:bookmarkStart w:id="4" w:name="OLE_LINK2"/>
      <w:r>
        <w:rPr>
          <w:rFonts w:hint="eastAsia" w:eastAsia="宋体"/>
          <w:lang w:val="en-US" w:eastAsia="zh-CN"/>
        </w:rPr>
        <w:t>RAN2 sent an LS on random access procedure in NR-U</w:t>
      </w:r>
      <w:bookmarkStart w:id="31" w:name="_GoBack"/>
      <w:bookmarkEnd w:id="31"/>
      <w:r>
        <w:rPr>
          <w:rFonts w:hint="eastAsia" w:eastAsia="宋体"/>
          <w:lang w:val="en-US" w:eastAsia="zh-CN"/>
        </w:rPr>
        <w:t xml:space="preserve"> [1] to RAN1. RAN2 has discussed and suggested to capture the relationship between PDSCH and the LSBs of the SFN signaled in DCI 1_0 in RAN1 specs. Wherein, RAN2 in the LS has the following action for RAN1.</w:t>
      </w:r>
    </w:p>
    <w:p>
      <w:pPr>
        <w:snapToGrid w:val="0"/>
        <w:spacing w:before="120" w:beforeLines="50" w:after="120" w:afterLines="50" w:line="240" w:lineRule="auto"/>
        <w:jc w:val="both"/>
        <w:rPr>
          <w:rFonts w:hint="eastAsia" w:eastAsia="宋体"/>
          <w:i/>
          <w:iCs/>
          <w:lang w:val="en-US" w:eastAsia="zh-CN"/>
        </w:rPr>
      </w:pPr>
      <w:r>
        <w:rPr>
          <w:rFonts w:hint="eastAsia" w:eastAsia="宋体"/>
          <w:b/>
          <w:bCs/>
          <w:i/>
          <w:iCs/>
          <w:lang w:val="en-US" w:eastAsia="zh-CN"/>
        </w:rPr>
        <w:t>ACTION</w:t>
      </w:r>
      <w:r>
        <w:rPr>
          <w:rFonts w:hint="eastAsia" w:eastAsia="宋体"/>
          <w:i/>
          <w:iCs/>
          <w:lang w:val="en-US" w:eastAsia="zh-CN"/>
        </w:rPr>
        <w:t>: RAN2 asks RAN1 to kindly take the above agreement into account and capture the above described validation of the SFN LSBs in TS 38.213.</w:t>
      </w:r>
    </w:p>
    <w:p>
      <w:pPr>
        <w:snapToGrid w:val="0"/>
        <w:spacing w:before="120" w:beforeLines="50" w:after="120" w:afterLines="50" w:line="240" w:lineRule="auto"/>
        <w:jc w:val="both"/>
        <w:rPr>
          <w:lang w:val="en-US" w:eastAsia="zh-CN"/>
        </w:rPr>
      </w:pPr>
      <w:r>
        <w:rPr>
          <w:rFonts w:hint="eastAsia" w:eastAsia="宋体"/>
          <w:lang w:val="en-US" w:eastAsia="zh-CN"/>
        </w:rPr>
        <w:t>Based on this, in this contribution, we will share our views on capturing of this LS contents in RAN1.</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w:t>
      </w:r>
    </w:p>
    <w:p>
      <w:pPr>
        <w:jc w:val="both"/>
        <w:rPr>
          <w:rFonts w:hint="eastAsia" w:eastAsia="宋体"/>
          <w:lang w:val="en-US" w:eastAsia="zh-CN"/>
        </w:rPr>
      </w:pPr>
      <w:bookmarkStart w:id="5" w:name="_Toc28873153"/>
      <w:r>
        <w:rPr>
          <w:rFonts w:hint="eastAsia" w:eastAsia="宋体"/>
          <w:lang w:val="en-US" w:eastAsia="zh-CN"/>
        </w:rPr>
        <w:t>In the current RAN1 specs, we can see that only 2 LSBs of SFN have been introduced in the DCI 1_0 of TS 28.212. But there is no discussion and specification on how to use and determine the validation of these 2 LSBs of SFN when UE receives it. Based on this, combine with guidance and suggestion from RAN2 LS, we think it is reasonable and has less spec change to capture RAN2 agreement mentioned in LS in RAN1 specs.</w:t>
      </w:r>
    </w:p>
    <w:p>
      <w:pPr>
        <w:jc w:val="both"/>
        <w:rPr>
          <w:rFonts w:hint="eastAsia" w:eastAsia="宋体"/>
          <w:lang w:val="en-US" w:eastAsia="zh-CN"/>
        </w:rPr>
      </w:pPr>
      <w:r>
        <w:rPr>
          <w:rFonts w:hint="eastAsia" w:eastAsia="宋体"/>
          <w:lang w:val="en-US" w:eastAsia="zh-CN"/>
        </w:rPr>
        <w:t>In the RAN2 LS, there is already a preliminary description on the validation of SFN LSBs, as follows:</w:t>
      </w:r>
    </w:p>
    <w:p>
      <w:pPr>
        <w:jc w:val="both"/>
        <w:rPr>
          <w:rFonts w:hint="default" w:eastAsia="宋体"/>
          <w:i/>
          <w:iCs/>
          <w:lang w:val="en-US" w:eastAsia="zh-CN"/>
        </w:rPr>
      </w:pPr>
      <w:r>
        <w:rPr>
          <w:rFonts w:hint="eastAsia" w:eastAsia="宋体" w:cs="Arial"/>
          <w:i/>
          <w:iCs/>
          <w:lang w:val="en-US" w:eastAsia="zh-CN"/>
        </w:rPr>
        <w:t>A</w:t>
      </w:r>
      <w:r>
        <w:rPr>
          <w:rFonts w:eastAsia="Yu Mincho" w:cs="Arial"/>
          <w:i/>
          <w:iCs/>
          <w:lang w:eastAsia="en-US"/>
        </w:rPr>
        <w:t xml:space="preserve"> downlink assignment is valid for successful RAR reception if the two LSB bits of the SFN indicated in </w:t>
      </w:r>
      <w:r>
        <w:rPr>
          <w:i/>
          <w:iCs/>
        </w:rPr>
        <w:t xml:space="preserve">DCI format 1_0 scrambled by RA-RNTI or msgB-RNTI </w:t>
      </w:r>
      <w:r>
        <w:rPr>
          <w:rFonts w:eastAsia="Yu Mincho" w:cs="Arial"/>
          <w:i/>
          <w:iCs/>
          <w:lang w:eastAsia="en-US"/>
        </w:rPr>
        <w:t>correspond to the PRACH occasion used to transmit the Random Access Preamble</w:t>
      </w:r>
    </w:p>
    <w:p>
      <w:pPr>
        <w:rPr>
          <w:rFonts w:hint="eastAsia" w:eastAsia="宋体"/>
          <w:lang w:val="en-US" w:eastAsia="zh-CN"/>
        </w:rPr>
      </w:pPr>
      <w:r>
        <w:rPr>
          <w:rFonts w:hint="eastAsia" w:eastAsia="宋体"/>
          <w:lang w:val="en-US" w:eastAsia="zh-CN"/>
        </w:rPr>
        <w:t>For the above contents, we think that it is more appropriate to place the illustration of the validation of SFN LSBs in the Section 8.2 and Section 8.2A in TS 38.213 with some slightly wording modification, respectively, as follows:</w:t>
      </w:r>
    </w:p>
    <w:p>
      <w:pPr>
        <w:rPr>
          <w:lang w:val="en-US"/>
        </w:rPr>
      </w:pPr>
      <w:r>
        <w:t>--------------------------------------------------------- Start of TP --------------------------------------------------------</w:t>
      </w:r>
      <w:r>
        <w:rPr>
          <w:rFonts w:hint="eastAsia" w:eastAsia="宋体"/>
          <w:lang w:val="en-US" w:eastAsia="zh-CN"/>
        </w:rPr>
        <w:t>-------------</w:t>
      </w:r>
    </w:p>
    <w:p>
      <w:pPr>
        <w:keepNext/>
        <w:keepLines/>
        <w:tabs>
          <w:tab w:val="left" w:pos="450"/>
        </w:tabs>
        <w:ind w:left="1417" w:hanging="1417"/>
        <w:rPr>
          <w:sz w:val="24"/>
          <w:szCs w:val="24"/>
          <w:lang w:eastAsia="zh-CN"/>
        </w:rPr>
      </w:pPr>
      <w:bookmarkStart w:id="6" w:name="_Toc26719400"/>
      <w:bookmarkStart w:id="7" w:name="_Ref491451294"/>
      <w:bookmarkStart w:id="8" w:name="_Toc12021463"/>
      <w:bookmarkStart w:id="9" w:name="_Ref491451297"/>
      <w:bookmarkStart w:id="10" w:name="_Ref491451289"/>
      <w:bookmarkStart w:id="11" w:name="_Ref491458133"/>
      <w:bookmarkStart w:id="12" w:name="_Ref491451293"/>
      <w:bookmarkStart w:id="13" w:name="_Toc20311575"/>
      <w:bookmarkStart w:id="14" w:name="_Ref491451291"/>
      <w:bookmarkStart w:id="15" w:name="_Ref491451292"/>
      <w:bookmarkStart w:id="16" w:name="_Ref491444649"/>
      <w:bookmarkStart w:id="17" w:name="_Toc29899131"/>
      <w:bookmarkStart w:id="18" w:name="_Toc29917286"/>
      <w:bookmarkStart w:id="19" w:name="_Toc29899549"/>
      <w:bookmarkStart w:id="20" w:name="_Toc29894832"/>
      <w:r>
        <w:rPr>
          <w:rFonts w:hint="eastAsia"/>
          <w:sz w:val="24"/>
          <w:szCs w:val="24"/>
          <w:lang w:eastAsia="zh-CN"/>
        </w:rPr>
        <w:t>8.2</w:t>
      </w:r>
      <w:r>
        <w:rPr>
          <w:rFonts w:hint="eastAsia"/>
          <w:sz w:val="24"/>
          <w:szCs w:val="24"/>
          <w:lang w:eastAsia="zh-CN"/>
        </w:rPr>
        <w:tab/>
      </w:r>
      <w:r>
        <w:rPr>
          <w:rFonts w:hint="eastAsia"/>
          <w:sz w:val="24"/>
          <w:szCs w:val="24"/>
          <w:lang w:eastAsia="zh-CN"/>
        </w:rPr>
        <w:t>Random access response</w:t>
      </w:r>
      <w:bookmarkEnd w:id="6"/>
      <w:bookmarkEnd w:id="7"/>
      <w:bookmarkEnd w:id="8"/>
      <w:bookmarkEnd w:id="9"/>
      <w:bookmarkEnd w:id="10"/>
      <w:bookmarkEnd w:id="11"/>
      <w:bookmarkEnd w:id="12"/>
      <w:bookmarkEnd w:id="13"/>
      <w:bookmarkEnd w:id="14"/>
      <w:bookmarkEnd w:id="15"/>
      <w:bookmarkEnd w:id="16"/>
      <w:r>
        <w:rPr>
          <w:rFonts w:hint="eastAsia"/>
          <w:sz w:val="24"/>
          <w:szCs w:val="24"/>
          <w:lang w:eastAsia="zh-CN"/>
        </w:rPr>
        <w:t xml:space="preserve"> - Type-1 random access procedure</w:t>
      </w:r>
      <w:bookmarkEnd w:id="17"/>
      <w:bookmarkEnd w:id="18"/>
      <w:bookmarkEnd w:id="19"/>
      <w:bookmarkEnd w:id="20"/>
    </w:p>
    <w:p>
      <w:pPr>
        <w:snapToGrid w:val="0"/>
        <w:spacing w:before="120" w:beforeLines="50" w:after="120" w:afterLines="50" w:line="240" w:lineRule="auto"/>
        <w:jc w:val="both"/>
        <w:rPr>
          <w:rFonts w:hint="eastAsia" w:eastAsia="宋体"/>
          <w:lang w:val="en-US" w:eastAsia="zh-CN"/>
        </w:rPr>
      </w:pPr>
      <w:r>
        <w:rPr>
          <w:rFonts w:hint="eastAsia" w:eastAsia="宋体"/>
          <w:lang w:val="en-US" w:eastAsia="zh-CN"/>
        </w:rP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as defined in Clause 10.1. The length of the window in number of slots, based on the SCS for Type1-PDCCH CSS set, is provided by </w:t>
      </w:r>
      <w:bookmarkStart w:id="21" w:name="_Hlk505324461"/>
      <w:r>
        <w:rPr>
          <w:rFonts w:hint="eastAsia" w:eastAsia="宋体"/>
          <w:lang w:val="en-US" w:eastAsia="zh-CN"/>
        </w:rPr>
        <w:t>ra-ResponseWindow</w:t>
      </w:r>
      <w:bookmarkEnd w:id="21"/>
      <w:r>
        <w:rPr>
          <w:rFonts w:hint="eastAsia" w:eastAsia="宋体"/>
          <w:lang w:val="en-US" w:eastAsia="zh-CN"/>
        </w:rPr>
        <w:t xml:space="preserve">. </w:t>
      </w:r>
    </w:p>
    <w:p>
      <w:pPr>
        <w:snapToGrid w:val="0"/>
        <w:spacing w:before="120" w:beforeLines="50" w:after="120" w:afterLines="50" w:line="240" w:lineRule="auto"/>
        <w:jc w:val="both"/>
        <w:rPr>
          <w:rFonts w:eastAsia="宋体"/>
          <w:lang w:val="en-US" w:eastAsia="zh-CN"/>
        </w:rPr>
      </w:pPr>
      <w:r>
        <w:rPr>
          <w:rFonts w:hint="eastAsia" w:eastAsia="宋体"/>
          <w:lang w:val="en-US" w:eastAsia="zh-CN"/>
        </w:rPr>
        <w:t>If the UE detects the DCI format 1_0 with CRC scrambled by the corresponding RA-RNTI and a transport block in a corresponding PDSCH within the window,</w:t>
      </w:r>
      <w:r>
        <w:rPr>
          <w:rFonts w:eastAsia="宋体"/>
          <w:lang w:val="en-US" w:eastAsia="zh-CN"/>
        </w:rPr>
        <w:t xml:space="preserve"> </w:t>
      </w:r>
      <w:ins w:id="0" w:author="ZTE Yang Ling" w:date="2020-04-08T17:55:32Z">
        <w:r>
          <w:rPr>
            <w:rFonts w:eastAsia="宋体"/>
            <w:lang w:val="en-US" w:eastAsia="zh-CN"/>
          </w:rPr>
          <w:t xml:space="preserve">or for </w:t>
        </w:r>
      </w:ins>
      <w:ins w:id="1" w:author="ZTE Yang Ling" w:date="2020-04-08T17:55:32Z">
        <w:r>
          <w:rPr>
            <w:rFonts w:hint="eastAsia" w:eastAsia="宋体"/>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ins>
      <w:ins w:id="2" w:author="ZTE Yang Ling" w:date="2020-04-08T17:55:32Z">
        <w:r>
          <w:rPr>
            <w:rFonts w:eastAsia="宋体"/>
            <w:lang w:val="en-US" w:eastAsia="zh-CN"/>
          </w:rPr>
          <w:t>,</w:t>
        </w:r>
      </w:ins>
      <w:ins w:id="3" w:author="ZTE Yang Ling" w:date="2020-04-08T17:55:32Z">
        <w:r>
          <w:rPr>
            <w:rFonts w:hint="eastAsia" w:eastAsia="宋体"/>
            <w:lang w:val="en-US" w:eastAsia="zh-CN"/>
          </w:rPr>
          <w:t xml:space="preserve"> </w:t>
        </w:r>
      </w:ins>
      <w:r>
        <w:rPr>
          <w:rFonts w:hint="eastAsia" w:eastAsia="宋体"/>
          <w:lang w:val="en-US" w:eastAsia="zh-CN"/>
        </w:rPr>
        <w:t>the UE passes the transport block to higher layers. The higher layers parse the transport block for a random access preamble identity (RAPID) associated with the PRACH transmission. If the higher layers identify the RAPID in RAR message(s) of the transport block, the higher layers indicate an uplink grant to the physical layer. This is referred to as random access response (RAR) UL grant in the physical layer.</w:t>
      </w:r>
    </w:p>
    <w:p>
      <w:pPr>
        <w:snapToGrid w:val="0"/>
        <w:spacing w:before="120" w:beforeLines="50" w:after="120" w:afterLines="50" w:line="240" w:lineRule="auto"/>
        <w:jc w:val="both"/>
      </w:pPr>
      <w:r>
        <w:t>If the UE does not detect the DCI format 1_0 with CRC scrambled by the corresponding RA-RNTI within the window, or</w:t>
      </w:r>
      <w:ins w:id="4" w:author="ZTE Yang Ling" w:date="2020-04-08T17:56:09Z">
        <w:r>
          <w:rPr>
            <w:rFonts w:eastAsia="宋体"/>
            <w:lang w:val="en-US" w:eastAsia="zh-CN"/>
          </w:rPr>
          <w:t xml:space="preserve"> for </w:t>
        </w:r>
      </w:ins>
      <w:ins w:id="5" w:author="ZTE Yang Ling" w:date="2020-04-08T17:56:09Z">
        <w:r>
          <w:rPr>
            <w:rFonts w:hint="eastAsia" w:eastAsia="宋体"/>
            <w:lang w:val="en-US" w:eastAsia="zh-CN"/>
          </w:rPr>
          <w:t xml:space="preserve">operation with shared spectrum channel access, if the UE detects the DCI format 1_0 with CRC scrambled by the corresponding RA-RNTI </w:t>
        </w:r>
      </w:ins>
      <w:ins w:id="6" w:author="ZTE Yang Ling" w:date="2020-04-08T17:56:09Z">
        <w:r>
          <w:rPr>
            <w:rFonts w:eastAsia="宋体"/>
            <w:lang w:val="en-US" w:eastAsia="zh-CN"/>
          </w:rPr>
          <w:t>but</w:t>
        </w:r>
      </w:ins>
      <w:ins w:id="7" w:author="ZTE Yang Ling" w:date="2020-04-08T17:56:09Z">
        <w:r>
          <w:rPr>
            <w:rFonts w:hint="eastAsia" w:eastAsia="宋体"/>
            <w:lang w:val="en-US" w:eastAsia="zh-CN"/>
          </w:rPr>
          <w:t xml:space="preserve"> the two LSB bits of the SFN </w:t>
        </w:r>
      </w:ins>
      <w:ins w:id="8" w:author="ZTE Yang Ling" w:date="2020-04-08T17:56:09Z">
        <w:r>
          <w:rPr>
            <w:rFonts w:eastAsia="宋体"/>
            <w:lang w:val="en-US" w:eastAsia="zh-CN"/>
          </w:rPr>
          <w:t>in the DCI does not match</w:t>
        </w:r>
      </w:ins>
      <w:ins w:id="9" w:author="ZTE Yang Ling" w:date="2020-04-08T17:56:09Z">
        <w:r>
          <w:rPr>
            <w:rFonts w:hint="eastAsia" w:eastAsia="宋体"/>
            <w:lang w:val="en-US" w:eastAsia="zh-CN"/>
          </w:rPr>
          <w:t xml:space="preserve"> the</w:t>
        </w:r>
      </w:ins>
      <w:ins w:id="10" w:author="ZTE Yang Ling" w:date="2020-04-08T17:56:09Z">
        <w:r>
          <w:rPr>
            <w:rFonts w:eastAsia="宋体"/>
            <w:lang w:val="en-US" w:eastAsia="zh-CN"/>
          </w:rPr>
          <w:t xml:space="preserve"> SFN of</w:t>
        </w:r>
      </w:ins>
      <w:ins w:id="11" w:author="ZTE Yang Ling" w:date="2020-04-08T17:56:09Z">
        <w:r>
          <w:rPr>
            <w:rFonts w:hint="eastAsia" w:eastAsia="宋体"/>
            <w:lang w:val="en-US" w:eastAsia="zh-CN"/>
          </w:rPr>
          <w:t xml:space="preserve"> PRACH occasion</w:t>
        </w:r>
      </w:ins>
      <w:ins w:id="12" w:author="ZTE Yang Ling" w:date="2020-04-08T17:56:09Z">
        <w:r>
          <w:rPr>
            <w:rFonts w:eastAsia="宋体"/>
            <w:lang w:val="en-US" w:eastAsia="zh-CN"/>
          </w:rPr>
          <w:t xml:space="preserve"> used to transmit the random access preamble, or</w:t>
        </w:r>
      </w:ins>
      <w:ins w:id="13" w:author="ZTE Yang Ling" w:date="2020-04-08T17:56:09Z">
        <w:r>
          <w:rPr/>
          <w:t xml:space="preserve"> </w:t>
        </w:r>
      </w:ins>
      <w:r>
        <w:t xml:space="preserve">if the UE does not correctly receive the transport block in the corresponding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Pr>
          <w:position w:val="-12"/>
          <w:lang w:val="en-US" w:eastAsia="zh-CN"/>
        </w:rPr>
        <w:drawing>
          <wp:inline distT="0" distB="0" distL="114300" distR="114300">
            <wp:extent cx="556260" cy="197485"/>
            <wp:effectExtent l="0" t="0" r="2540" b="4445"/>
            <wp:docPr id="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pic:cNvPicPr>
                      <a:picLocks noChangeAspect="1"/>
                    </pic:cNvPicPr>
                  </pic:nvPicPr>
                  <pic:blipFill>
                    <a:blip r:embed="rId6"/>
                    <a:stretch>
                      <a:fillRect/>
                    </a:stretch>
                  </pic:blipFill>
                  <pic:spPr>
                    <a:xfrm>
                      <a:off x="0" y="0"/>
                      <a:ext cx="556260" cy="197485"/>
                    </a:xfrm>
                    <a:prstGeom prst="rect">
                      <a:avLst/>
                    </a:prstGeom>
                    <a:noFill/>
                    <a:ln>
                      <a:noFill/>
                    </a:ln>
                  </pic:spPr>
                </pic:pic>
              </a:graphicData>
            </a:graphic>
          </wp:inline>
        </w:drawing>
      </w:r>
      <w:r>
        <w:t xml:space="preserve"> </w:t>
      </w:r>
      <w:r>
        <w:rPr>
          <w:lang w:val="en-US"/>
        </w:rPr>
        <w:t xml:space="preserve">msec </w:t>
      </w:r>
      <w:r>
        <w:t>after the last symbol of the window, or the last symbol of the PDSCH reception,</w:t>
      </w:r>
      <w:r>
        <w:rPr>
          <w:lang w:val="en-US"/>
        </w:rPr>
        <w:t xml:space="preserve"> where </w:t>
      </w:r>
      <w:r>
        <w:rPr>
          <w:position w:val="-12"/>
          <w:lang w:val="en-US" w:eastAsia="zh-CN"/>
        </w:rPr>
        <w:drawing>
          <wp:inline distT="0" distB="0" distL="114300" distR="114300">
            <wp:extent cx="197485" cy="197485"/>
            <wp:effectExtent l="0" t="0" r="5715" b="4445"/>
            <wp:docPr id="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pic:cNvPicPr>
                      <a:picLocks noChangeAspect="1"/>
                    </pic:cNvPicPr>
                  </pic:nvPicPr>
                  <pic:blipFill>
                    <a:blip r:embed="rId7"/>
                    <a:stretch>
                      <a:fillRect/>
                    </a:stretch>
                  </pic:blipFill>
                  <pic:spPr>
                    <a:xfrm>
                      <a:off x="0" y="0"/>
                      <a:ext cx="197485" cy="197485"/>
                    </a:xfrm>
                    <a:prstGeom prst="rect">
                      <a:avLst/>
                    </a:prstGeom>
                    <a:noFill/>
                    <a:ln>
                      <a:noFill/>
                    </a:ln>
                  </pic:spPr>
                </pic:pic>
              </a:graphicData>
            </a:graphic>
          </wp:inline>
        </w:drawing>
      </w:r>
      <w:r>
        <w:t xml:space="preserve"> is a time duration of </w:t>
      </w:r>
      <w:r>
        <w:rPr>
          <w:position w:val="-10"/>
          <w:lang w:val="en-US" w:eastAsia="zh-CN"/>
        </w:rPr>
        <w:drawing>
          <wp:inline distT="0" distB="0" distL="114300" distR="114300">
            <wp:extent cx="182880" cy="190500"/>
            <wp:effectExtent l="0" t="0" r="0" b="0"/>
            <wp:docPr id="4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3"/>
                    <pic:cNvPicPr>
                      <a:picLocks noChangeAspect="1"/>
                    </pic:cNvPicPr>
                  </pic:nvPicPr>
                  <pic:blipFill>
                    <a:blip r:embed="rId8"/>
                    <a:stretch>
                      <a:fillRect/>
                    </a:stretch>
                  </pic:blipFill>
                  <pic:spPr>
                    <a:xfrm>
                      <a:off x="0" y="0"/>
                      <a:ext cx="182880" cy="190500"/>
                    </a:xfrm>
                    <a:prstGeom prst="rect">
                      <a:avLst/>
                    </a:prstGeom>
                    <a:noFill/>
                    <a:ln>
                      <a:noFill/>
                    </a:ln>
                  </pic:spPr>
                </pic:pic>
              </a:graphicData>
            </a:graphic>
          </wp:inline>
        </w:drawing>
      </w:r>
      <w:r>
        <w:t xml:space="preserve"> symbols corresponding to a PDSCH processing time for UE processing capability 1 </w:t>
      </w:r>
      <w:r>
        <w:rPr>
          <w:rFonts w:hint="eastAsia"/>
          <w:lang w:eastAsia="zh-CN"/>
        </w:rPr>
        <w:t xml:space="preserve">assuming </w:t>
      </w:r>
      <w:r>
        <w:rPr>
          <w:position w:val="-10"/>
          <w:lang w:val="en-US" w:eastAsia="zh-CN"/>
        </w:rPr>
        <w:drawing>
          <wp:inline distT="0" distB="0" distL="114300" distR="114300">
            <wp:extent cx="182880" cy="160655"/>
            <wp:effectExtent l="0" t="0" r="0" b="0"/>
            <wp:docPr id="4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4"/>
                    <pic:cNvPicPr>
                      <a:picLocks noChangeAspect="1"/>
                    </pic:cNvPicPr>
                  </pic:nvPicPr>
                  <pic:blipFill>
                    <a:blip r:embed="rId9"/>
                    <a:stretch>
                      <a:fillRect/>
                    </a:stretch>
                  </pic:blipFill>
                  <pic:spPr>
                    <a:xfrm>
                      <a:off x="0" y="0"/>
                      <a:ext cx="182880" cy="160655"/>
                    </a:xfrm>
                    <a:prstGeom prst="rect">
                      <a:avLst/>
                    </a:prstGeom>
                    <a:noFill/>
                    <a:ln>
                      <a:noFill/>
                    </a:ln>
                  </pic:spPr>
                </pic:pic>
              </a:graphicData>
            </a:graphic>
          </wp:inline>
        </w:drawing>
      </w:r>
      <w:r>
        <w:rPr>
          <w:rFonts w:hint="eastAsia" w:eastAsia="等线"/>
          <w:lang w:eastAsia="zh-CN"/>
        </w:rPr>
        <w:t xml:space="preserve"> corresponds to the smallest SCS configuration </w:t>
      </w:r>
      <w:r>
        <w:rPr>
          <w:lang w:eastAsia="zh-CN"/>
        </w:rPr>
        <w:t>among</w:t>
      </w:r>
      <w:r>
        <w:rPr>
          <w:rFonts w:hint="eastAsia" w:eastAsia="等线"/>
          <w:lang w:eastAsia="zh-CN"/>
        </w:rPr>
        <w:t xml:space="preserve"> the SCS configuration</w:t>
      </w:r>
      <w:r>
        <w:rPr>
          <w:rFonts w:eastAsia="等线"/>
          <w:lang w:eastAsia="zh-CN"/>
        </w:rPr>
        <w:t xml:space="preserve">s for </w:t>
      </w:r>
      <w:r>
        <w:rPr>
          <w:rFonts w:hint="eastAsia" w:eastAsia="等线"/>
          <w:lang w:eastAsia="zh-CN"/>
        </w:rPr>
        <w:t>the PDCCH carrying the DCI format 1_0</w:t>
      </w:r>
      <w:r>
        <w:rPr>
          <w:rFonts w:eastAsia="等线"/>
          <w:lang w:eastAsia="zh-CN"/>
        </w:rPr>
        <w:t>,</w:t>
      </w:r>
      <w:r>
        <w:rPr>
          <w:rFonts w:hint="eastAsia" w:eastAsia="等线"/>
          <w:lang w:eastAsia="zh-CN"/>
        </w:rPr>
        <w:t xml:space="preserve"> the </w:t>
      </w:r>
      <w:r>
        <w:t>corresponding PDSCH when additional PDSCH DM-RS is configured, and the corresponding PRACH</w:t>
      </w:r>
      <w:r>
        <w:rPr>
          <w:lang w:val="en-US"/>
        </w:rPr>
        <w:t xml:space="preserve">. </w:t>
      </w:r>
      <w:r>
        <w:t xml:space="preserve">For </w:t>
      </w:r>
      <w:r>
        <w:rPr>
          <w:position w:val="-10"/>
          <w:lang w:val="en-US" w:eastAsia="zh-CN"/>
        </w:rPr>
        <w:drawing>
          <wp:inline distT="0" distB="0" distL="114300" distR="114300">
            <wp:extent cx="336550" cy="168275"/>
            <wp:effectExtent l="0" t="0" r="0" b="0"/>
            <wp:docPr id="3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5"/>
                    <pic:cNvPicPr>
                      <a:picLocks noChangeAspect="1"/>
                    </pic:cNvPicPr>
                  </pic:nvPicPr>
                  <pic:blipFill>
                    <a:blip r:embed="rId10"/>
                    <a:stretch>
                      <a:fillRect/>
                    </a:stretch>
                  </pic:blipFill>
                  <pic:spPr>
                    <a:xfrm>
                      <a:off x="0" y="0"/>
                      <a:ext cx="336550" cy="168275"/>
                    </a:xfrm>
                    <a:prstGeom prst="rect">
                      <a:avLst/>
                    </a:prstGeom>
                    <a:noFill/>
                    <a:ln>
                      <a:noFill/>
                    </a:ln>
                  </pic:spPr>
                </pic:pic>
              </a:graphicData>
            </a:graphic>
          </wp:inline>
        </w:drawing>
      </w:r>
      <w:r>
        <w:t xml:space="preserve">, the UE assumes </w:t>
      </w:r>
      <w:r>
        <w:rPr>
          <w:position w:val="-12"/>
          <w:lang w:val="en-US" w:eastAsia="zh-CN"/>
        </w:rPr>
        <w:drawing>
          <wp:inline distT="0" distB="0" distL="114300" distR="114300">
            <wp:extent cx="482600" cy="190500"/>
            <wp:effectExtent l="0" t="0" r="0" b="0"/>
            <wp:docPr id="3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6"/>
                    <pic:cNvPicPr>
                      <a:picLocks noChangeAspect="1"/>
                    </pic:cNvPicPr>
                  </pic:nvPicPr>
                  <pic:blipFill>
                    <a:blip r:embed="rId11"/>
                    <a:stretch>
                      <a:fillRect/>
                    </a:stretch>
                  </pic:blipFill>
                  <pic:spPr>
                    <a:xfrm>
                      <a:off x="0" y="0"/>
                      <a:ext cx="482600" cy="190500"/>
                    </a:xfrm>
                    <a:prstGeom prst="rect">
                      <a:avLst/>
                    </a:prstGeom>
                    <a:noFill/>
                    <a:ln>
                      <a:noFill/>
                    </a:ln>
                  </pic:spPr>
                </pic:pic>
              </a:graphicData>
            </a:graphic>
          </wp:inline>
        </w:drawing>
      </w:r>
      <w:r>
        <w:t xml:space="preserve"> [6, TS 38.214]</w:t>
      </w:r>
      <w:r>
        <w:rPr>
          <w:lang w:val="en-US"/>
        </w:rPr>
        <w:t xml:space="preserve">. For a PRACH transmission using 1.25 kHz or 5 kHz SCS, the UE determines </w:t>
      </w:r>
      <w:r>
        <w:rPr>
          <w:position w:val="-10"/>
          <w:lang w:val="en-US" w:eastAsia="zh-CN"/>
        </w:rPr>
        <w:drawing>
          <wp:inline distT="0" distB="0" distL="114300" distR="114300">
            <wp:extent cx="182880" cy="190500"/>
            <wp:effectExtent l="0" t="0" r="0" b="0"/>
            <wp:docPr id="3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7"/>
                    <pic:cNvPicPr>
                      <a:picLocks noChangeAspect="1"/>
                    </pic:cNvPicPr>
                  </pic:nvPicPr>
                  <pic:blipFill>
                    <a:blip r:embed="rId8"/>
                    <a:stretch>
                      <a:fillRect/>
                    </a:stretch>
                  </pic:blipFill>
                  <pic:spPr>
                    <a:xfrm>
                      <a:off x="0" y="0"/>
                      <a:ext cx="182880" cy="190500"/>
                    </a:xfrm>
                    <a:prstGeom prst="rect">
                      <a:avLst/>
                    </a:prstGeom>
                    <a:noFill/>
                    <a:ln>
                      <a:noFill/>
                    </a:ln>
                  </pic:spPr>
                </pic:pic>
              </a:graphicData>
            </a:graphic>
          </wp:inline>
        </w:drawing>
      </w:r>
      <w:r>
        <w:t xml:space="preserve"> assuming SCS configuration </w:t>
      </w:r>
      <w:r>
        <w:rPr>
          <w:position w:val="-10"/>
          <w:lang w:val="en-US" w:eastAsia="zh-CN"/>
        </w:rPr>
        <w:drawing>
          <wp:inline distT="0" distB="0" distL="114300" distR="114300">
            <wp:extent cx="278130" cy="182880"/>
            <wp:effectExtent l="0" t="0" r="1270" b="0"/>
            <wp:docPr id="3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8"/>
                    <pic:cNvPicPr>
                      <a:picLocks noChangeAspect="1"/>
                    </pic:cNvPicPr>
                  </pic:nvPicPr>
                  <pic:blipFill>
                    <a:blip r:embed="rId12"/>
                    <a:stretch>
                      <a:fillRect/>
                    </a:stretch>
                  </pic:blipFill>
                  <pic:spPr>
                    <a:xfrm>
                      <a:off x="0" y="0"/>
                      <a:ext cx="278130" cy="182880"/>
                    </a:xfrm>
                    <a:prstGeom prst="rect">
                      <a:avLst/>
                    </a:prstGeom>
                    <a:noFill/>
                    <a:ln>
                      <a:noFill/>
                    </a:ln>
                  </pic:spPr>
                </pic:pic>
              </a:graphicData>
            </a:graphic>
          </wp:inline>
        </w:drawing>
      </w:r>
      <w:r>
        <w:t>.</w:t>
      </w:r>
    </w:p>
    <w:p>
      <w:pPr>
        <w:snapToGrid w:val="0"/>
        <w:spacing w:before="120" w:beforeLines="50" w:after="120" w:afterLines="50" w:line="240" w:lineRule="auto"/>
        <w:jc w:val="both"/>
        <w:rPr>
          <w:rFonts w:eastAsia="宋体"/>
          <w:lang w:val="en-US" w:eastAsia="zh-CN"/>
        </w:rPr>
      </w:pPr>
      <w:r>
        <w:rPr>
          <w:rFonts w:hint="eastAsia" w:eastAsia="宋体"/>
          <w:lang w:val="en-US" w:eastAsia="zh-CN"/>
        </w:rPr>
        <w:t xml:space="preserve">If the UE detects a DCI format 1_0 with CRC scrambled by the corresponding RA-RNTI and receives a transport block in a corresponding PDSCH, </w:t>
      </w:r>
      <w:ins w:id="14" w:author="ZTE Yang Ling" w:date="2020-04-08T17:56:43Z">
        <w:r>
          <w:rPr>
            <w:rFonts w:eastAsia="宋体"/>
            <w:lang w:val="en-US" w:eastAsia="zh-CN"/>
          </w:rPr>
          <w:t xml:space="preserve">or for </w:t>
        </w:r>
      </w:ins>
      <w:ins w:id="15" w:author="ZTE Yang Ling" w:date="2020-04-08T17:56:43Z">
        <w:r>
          <w:rPr>
            <w:rFonts w:hint="eastAsia" w:eastAsia="宋体"/>
            <w:lang w:val="en-US" w:eastAsia="zh-CN"/>
          </w:rPr>
          <w:t>operation with shared spectrum channel access, if the UE detects the DCI format 1_0 with CRC scrambled by the corresponding RA-RNTI and the DCI includes the two LSB bits of the SFN corresponding to the PRACH occasion used to transmit the random access preamble</w:t>
        </w:r>
      </w:ins>
      <w:ins w:id="16" w:author="ZTE Yang Ling" w:date="2020-04-08T17:56:43Z">
        <w:r>
          <w:rPr>
            <w:rFonts w:eastAsia="宋体"/>
            <w:lang w:val="en-US" w:eastAsia="zh-CN"/>
          </w:rPr>
          <w:t xml:space="preserve">, </w:t>
        </w:r>
      </w:ins>
      <w:r>
        <w:rPr>
          <w:rFonts w:hint="eastAsia" w:eastAsia="宋体"/>
          <w:lang w:val="en-US" w:eastAsia="zh-CN"/>
        </w:rPr>
        <w:t xml:space="preserve">the UE may assume same DM-RS antenna port quasi co-location properties, as described in [6, TS 38.214], as for a SS/PBCH block or a CSI-RS resource the UE used for PRACH association, as described in Clause 8.1, regardless of whether or not the UE is provided TCI-State for the CORESET where the UE receives the PDCCH with the DCI format 1_0. </w:t>
      </w:r>
    </w:p>
    <w:p>
      <w:pPr>
        <w:snapToGrid w:val="0"/>
        <w:spacing w:before="120" w:beforeLines="50" w:after="120" w:afterLines="50" w:line="240" w:lineRule="auto"/>
        <w:jc w:val="both"/>
        <w:rPr>
          <w:rFonts w:eastAsia="宋体"/>
          <w:lang w:val="en-US" w:eastAsia="zh-CN"/>
        </w:rPr>
      </w:pPr>
      <w:r>
        <w:rPr>
          <w:rFonts w:eastAsia="宋体"/>
          <w:lang w:val="en-US" w:eastAsia="zh-CN"/>
        </w:rPr>
        <w:t>…</w:t>
      </w:r>
    </w:p>
    <w:p>
      <w:pPr>
        <w:snapToGrid w:val="0"/>
        <w:spacing w:before="120" w:beforeLines="50" w:after="120" w:afterLines="50" w:line="240" w:lineRule="auto"/>
        <w:jc w:val="both"/>
      </w:pPr>
      <w:r>
        <w:t>If the UE does not detect the DCI format with CRC scrambled by the corresponding RA-RNTI</w:t>
      </w:r>
      <w:ins w:id="17" w:author="ZTE Yang Ling" w:date="2020-04-08T17:57:18Z">
        <w:r>
          <w:rPr/>
          <w:t xml:space="preserve">, or </w:t>
        </w:r>
      </w:ins>
      <w:ins w:id="18" w:author="ZTE Yang Ling" w:date="2020-04-08T17:57:18Z">
        <w:r>
          <w:rPr>
            <w:rFonts w:eastAsia="宋体"/>
            <w:lang w:val="en-US" w:eastAsia="zh-CN"/>
          </w:rPr>
          <w:t xml:space="preserve">for </w:t>
        </w:r>
      </w:ins>
      <w:ins w:id="19" w:author="ZTE Yang Ling" w:date="2020-04-08T17:57:18Z">
        <w:r>
          <w:rPr>
            <w:rFonts w:hint="eastAsia" w:eastAsia="宋体"/>
            <w:lang w:val="en-US" w:eastAsia="zh-CN"/>
          </w:rPr>
          <w:t xml:space="preserve">operation with shared spectrum channel access, if the UE detects the DCI format 1_0 with CRC scrambled by the corresponding RA-RNTI </w:t>
        </w:r>
      </w:ins>
      <w:ins w:id="20" w:author="ZTE Yang Ling" w:date="2020-04-08T17:57:18Z">
        <w:r>
          <w:rPr>
            <w:rFonts w:eastAsia="宋体"/>
            <w:lang w:val="en-US" w:eastAsia="zh-CN"/>
          </w:rPr>
          <w:t>but</w:t>
        </w:r>
      </w:ins>
      <w:ins w:id="21" w:author="ZTE Yang Ling" w:date="2020-04-08T17:57:18Z">
        <w:r>
          <w:rPr>
            <w:rFonts w:hint="eastAsia" w:eastAsia="宋体"/>
            <w:lang w:val="en-US" w:eastAsia="zh-CN"/>
          </w:rPr>
          <w:t xml:space="preserve"> the two LSB bits of the SFN </w:t>
        </w:r>
      </w:ins>
      <w:ins w:id="22" w:author="ZTE Yang Ling" w:date="2020-04-08T17:57:18Z">
        <w:r>
          <w:rPr>
            <w:rFonts w:eastAsia="宋体"/>
            <w:lang w:val="en-US" w:eastAsia="zh-CN"/>
          </w:rPr>
          <w:t>in the DCI does not match</w:t>
        </w:r>
      </w:ins>
      <w:ins w:id="23" w:author="ZTE Yang Ling" w:date="2020-04-08T17:57:18Z">
        <w:r>
          <w:rPr>
            <w:rFonts w:hint="eastAsia" w:eastAsia="宋体"/>
            <w:lang w:val="en-US" w:eastAsia="zh-CN"/>
          </w:rPr>
          <w:t xml:space="preserve"> the</w:t>
        </w:r>
      </w:ins>
      <w:ins w:id="24" w:author="ZTE Yang Ling" w:date="2020-04-08T17:57:18Z">
        <w:r>
          <w:rPr>
            <w:rFonts w:eastAsia="宋体"/>
            <w:lang w:val="en-US" w:eastAsia="zh-CN"/>
          </w:rPr>
          <w:t xml:space="preserve"> SFN of</w:t>
        </w:r>
      </w:ins>
      <w:ins w:id="25" w:author="ZTE Yang Ling" w:date="2020-04-08T17:57:18Z">
        <w:r>
          <w:rPr>
            <w:rFonts w:hint="eastAsia" w:eastAsia="宋体"/>
            <w:lang w:val="en-US" w:eastAsia="zh-CN"/>
          </w:rPr>
          <w:t xml:space="preserve"> PRACH occasion</w:t>
        </w:r>
      </w:ins>
      <w:ins w:id="26" w:author="ZTE Yang Ling" w:date="2020-04-08T17:57:18Z">
        <w:r>
          <w:rPr>
            <w:rFonts w:eastAsia="宋体"/>
            <w:lang w:val="en-US" w:eastAsia="zh-CN"/>
          </w:rPr>
          <w:t xml:space="preserve"> used to transmit the random access preamble,</w:t>
        </w:r>
      </w:ins>
      <w:ins w:id="27" w:author="ZTE Yang Ling" w:date="2020-04-08T17:57:18Z">
        <w:r>
          <w:rPr/>
          <w:t xml:space="preserve"> </w:t>
        </w:r>
      </w:ins>
      <w:r>
        <w:t xml:space="preserve">or </w:t>
      </w:r>
      <w:ins w:id="28" w:author="ZTE Yang Ling" w:date="2020-04-08T17:58:12Z">
        <w:r>
          <w:rPr>
            <w:rFonts w:hint="eastAsia" w:eastAsia="宋体"/>
            <w:lang w:val="en-US" w:eastAsia="zh-CN"/>
          </w:rPr>
          <w:t>i</w:t>
        </w:r>
      </w:ins>
      <w:r>
        <w:t>f the UE does not correctly receive a corresponding transport block within the window, the UE procedure is as described in [</w:t>
      </w:r>
      <w:r>
        <w:rPr>
          <w:lang w:val="en-US"/>
        </w:rPr>
        <w:t>11, TS 38.321</w:t>
      </w:r>
      <w:r>
        <w:t xml:space="preserve">]. </w:t>
      </w:r>
    </w:p>
    <w:p>
      <w:pPr>
        <w:rPr>
          <w:ins w:id="29" w:author="ZTE Yang Ling" w:date="2020-04-08T17:49:50Z"/>
          <w:rFonts w:hint="default" w:eastAsia="宋体"/>
          <w:lang w:val="en-US" w:eastAsia="zh-CN"/>
        </w:rPr>
      </w:pPr>
    </w:p>
    <w:p>
      <w:pPr>
        <w:rPr>
          <w:rFonts w:hint="eastAsia" w:eastAsia="宋体"/>
          <w:sz w:val="24"/>
          <w:szCs w:val="24"/>
          <w:lang w:val="en-US" w:eastAsia="zh-CN"/>
        </w:rPr>
      </w:pPr>
      <w:bookmarkStart w:id="22" w:name="_Toc29899550"/>
      <w:bookmarkStart w:id="23" w:name="_Toc29894833"/>
      <w:bookmarkStart w:id="24" w:name="_Toc29917287"/>
      <w:bookmarkStart w:id="25" w:name="_Toc29899132"/>
      <w:r>
        <w:rPr>
          <w:rFonts w:hint="eastAsia" w:eastAsia="宋体"/>
          <w:sz w:val="24"/>
          <w:szCs w:val="24"/>
          <w:lang w:val="en-US" w:eastAsia="zh-CN"/>
        </w:rPr>
        <w:t>8.2A</w:t>
      </w:r>
      <w:r>
        <w:rPr>
          <w:rFonts w:hint="eastAsia" w:eastAsia="宋体"/>
          <w:sz w:val="24"/>
          <w:szCs w:val="24"/>
          <w:lang w:val="en-US" w:eastAsia="zh-CN"/>
        </w:rPr>
        <w:tab/>
      </w:r>
      <w:r>
        <w:rPr>
          <w:rFonts w:hint="eastAsia" w:eastAsia="宋体"/>
          <w:sz w:val="24"/>
          <w:szCs w:val="24"/>
          <w:lang w:val="en-US" w:eastAsia="zh-CN"/>
        </w:rPr>
        <w:t>Random access response - Type-2 random access procedure</w:t>
      </w:r>
      <w:bookmarkEnd w:id="22"/>
      <w:bookmarkEnd w:id="23"/>
      <w:bookmarkEnd w:id="24"/>
      <w:bookmarkEnd w:id="25"/>
    </w:p>
    <w:p>
      <w:pPr>
        <w:jc w:val="both"/>
      </w:pPr>
      <w:r>
        <w:t xml:space="preserve">If the UE detects the DCI format 1_0, with CRC scrambled by the corresponding MSGB-RNTI </w:t>
      </w:r>
      <w:ins w:id="30" w:author="ZTE Yang Ling" w:date="2020-04-08T18:27:48Z">
        <w:r>
          <w:rPr/>
          <w:t>and the DCI includes the two LSB bits of SFN corresponding to the PRACH occasion used to transmit the MSGA preamble,</w:t>
        </w:r>
      </w:ins>
      <w:r>
        <w:t xml:space="preserve"> and</w:t>
      </w:r>
      <w:ins w:id="31" w:author="ZTE Yang Ling" w:date="2020-04-08T18:02:24Z">
        <w:r>
          <w:rPr/>
          <w:t xml:space="preserve"> the UE detects </w:t>
        </w:r>
      </w:ins>
      <w:r>
        <w:t>a transport block in a corresponding PDSCH within the window, the UE passes the transport block to higher layers. The higher layers indicate to the physical layer</w:t>
      </w:r>
    </w:p>
    <w:p>
      <w:pPr>
        <w:pStyle w:val="51"/>
        <w:spacing w:after="240"/>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an uplink grant if the RAR message(s) is for </w:t>
      </w:r>
      <w:r>
        <w:rPr>
          <w:rFonts w:ascii="Times New Roman" w:hAnsi="Times New Roman" w:eastAsia="Calibri" w:cs="Times New Roman"/>
          <w:sz w:val="20"/>
          <w:szCs w:val="20"/>
        </w:rPr>
        <w:t xml:space="preserve">fallbackRAR and </w:t>
      </w:r>
      <w:r>
        <w:rPr>
          <w:rFonts w:ascii="Times New Roman" w:hAnsi="Times New Roman" w:cs="Times New Roman"/>
          <w:sz w:val="20"/>
          <w:szCs w:val="20"/>
        </w:rPr>
        <w:t>a random access preamble identity (RAPID) associated with the PRACH transmission</w:t>
      </w:r>
      <w:r>
        <w:rPr>
          <w:rFonts w:ascii="Times New Roman" w:hAnsi="Times New Roman" w:eastAsia="Calibri" w:cs="Times New Roman"/>
          <w:sz w:val="20"/>
          <w:szCs w:val="20"/>
        </w:rPr>
        <w:t xml:space="preserve"> is identified, and the UE procedure continues as described in Clause 8.2 when the UE detects a RAR UL grant, or</w:t>
      </w:r>
    </w:p>
    <w:p>
      <w:pPr>
        <w:pStyle w:val="51"/>
        <w:spacing w:after="240"/>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transmission of a PUCCH with HARQ-ACK information having ACK value if the RAR message(s) is for </w:t>
      </w:r>
      <w:r>
        <w:rPr>
          <w:rFonts w:ascii="Times New Roman" w:hAnsi="Times New Roman" w:eastAsia="Calibri" w:cs="Times New Roman"/>
          <w:sz w:val="20"/>
          <w:szCs w:val="20"/>
        </w:rPr>
        <w:t xml:space="preserve">successRAR, where </w:t>
      </w:r>
    </w:p>
    <w:p>
      <w:pPr>
        <w:pStyle w:val="58"/>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 xml:space="preserve">a PUCCH resource for the transmission of the PUCCH </w:t>
      </w:r>
      <w:r>
        <w:rPr>
          <w:rFonts w:ascii="Times New Roman" w:hAnsi="Times New Roman" w:cs="Times New Roman"/>
          <w:sz w:val="20"/>
          <w:szCs w:val="20"/>
          <w:lang w:val="en-US"/>
        </w:rPr>
        <w:t xml:space="preserve">is indicated by </w:t>
      </w:r>
      <w:r>
        <w:rPr>
          <w:rFonts w:ascii="Times New Roman" w:hAnsi="Times New Roman" w:cs="Times New Roman"/>
          <w:sz w:val="20"/>
          <w:szCs w:val="20"/>
          <w:lang w:eastAsia="zh-CN"/>
        </w:rPr>
        <w:t>PUCCH resource indicator</w:t>
      </w:r>
      <w:r>
        <w:rPr>
          <w:rFonts w:ascii="Times New Roman" w:hAnsi="Times New Roman" w:cs="Times New Roman"/>
          <w:sz w:val="20"/>
          <w:szCs w:val="20"/>
        </w:rPr>
        <w:t xml:space="preserve"> field of </w:t>
      </w:r>
      <w:r>
        <w:rPr>
          <w:rFonts w:ascii="Times New Roman" w:hAnsi="Times New Roman" w:cs="Times New Roman"/>
          <w:sz w:val="20"/>
          <w:szCs w:val="20"/>
          <w:lang w:val="en-US"/>
        </w:rPr>
        <w:t>4 bits in the successRAR</w:t>
      </w:r>
      <w:r>
        <w:rPr>
          <w:rFonts w:ascii="Times New Roman" w:hAnsi="Times New Roman" w:cs="Times New Roman"/>
          <w:sz w:val="20"/>
          <w:szCs w:val="20"/>
        </w:rPr>
        <w:t xml:space="preserve"> from a PUCCH resource set that is provided by </w:t>
      </w:r>
      <w:r>
        <w:rPr>
          <w:rFonts w:ascii="Times New Roman" w:hAnsi="Times New Roman" w:cs="Times New Roman"/>
          <w:i/>
          <w:sz w:val="20"/>
          <w:szCs w:val="20"/>
        </w:rPr>
        <w:t>pucch-</w:t>
      </w:r>
      <w:r>
        <w:rPr>
          <w:rFonts w:ascii="Times New Roman" w:hAnsi="Times New Roman" w:cs="Times New Roman"/>
          <w:i/>
          <w:sz w:val="20"/>
          <w:szCs w:val="20"/>
          <w:lang w:val="en-US"/>
        </w:rPr>
        <w:t>ResourceCommon</w:t>
      </w:r>
      <w:r>
        <w:rPr>
          <w:rFonts w:ascii="Times New Roman" w:hAnsi="Times New Roman" w:cs="Times New Roman"/>
          <w:sz w:val="20"/>
          <w:szCs w:val="20"/>
          <w:lang w:val="en-US"/>
        </w:rPr>
        <w:t xml:space="preserve"> </w:t>
      </w:r>
    </w:p>
    <w:p>
      <w:pPr>
        <w:pStyle w:val="58"/>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cs="Times New Roman"/>
          <w:sz w:val="20"/>
          <w:szCs w:val="20"/>
        </w:rPr>
        <w:t>a slot for the PUCCH transmission is indicated by a PDSCH-to-HARQ_feedback timing indicator field of 3 bits in the successRAR</w:t>
      </w:r>
      <w:r>
        <w:rPr>
          <w:rFonts w:ascii="Times New Roman" w:hAnsi="Times New Roman" w:eastAsia="Calibri" w:cs="Times New Roman"/>
          <w:sz w:val="20"/>
          <w:szCs w:val="20"/>
        </w:rPr>
        <w:t xml:space="preserve"> having a value </w:t>
      </w:r>
      <m:oMath>
        <m:r>
          <w:rPr>
            <w:rFonts w:ascii="Cambria Math" w:hAnsi="Cambria Math" w:cs="Times New Roman"/>
            <w:sz w:val="20"/>
            <w:szCs w:val="20"/>
          </w:rPr>
          <m:t>k</m:t>
        </m:r>
      </m:oMath>
      <w:r>
        <w:rPr>
          <w:rFonts w:ascii="Times New Roman" w:hAnsi="Times New Roman" w:eastAsia="Calibri" w:cs="Times New Roman"/>
          <w:sz w:val="20"/>
          <w:szCs w:val="20"/>
        </w:rPr>
        <w:t xml:space="preserve"> from</w:t>
      </w:r>
      <w:r>
        <w:rPr>
          <w:rFonts w:ascii="Times New Roman" w:hAnsi="Times New Roman" w:cs="Times New Roman"/>
          <w:sz w:val="20"/>
          <w:szCs w:val="20"/>
          <w:lang w:eastAsia="zh-CN"/>
        </w:rPr>
        <w:t xml:space="preserve"> {1, 2, 3, 4, 5, 6, 7, 8} and, with reference to slots for PUCCH transmission having duration </w:t>
      </w:r>
      <m:oMath>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slot</m:t>
            </m:r>
            <m:ctrlPr>
              <w:rPr>
                <w:rFonts w:ascii="Cambria Math" w:hAnsi="Cambria Math" w:cs="Times New Roman"/>
                <w:i/>
                <w:sz w:val="20"/>
                <w:szCs w:val="20"/>
              </w:rPr>
            </m:ctrlPr>
          </m:sub>
        </m:sSub>
      </m:oMath>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the slot is determined as </w:t>
      </w:r>
      <m:oMath>
        <m:r>
          <w:rPr>
            <w:rFonts w:ascii="Cambria Math" w:hAnsi="Cambria Math" w:cs="Times New Roman"/>
            <w:sz w:val="20"/>
            <w:szCs w:val="20"/>
          </w:rPr>
          <m:t>ceil</m:t>
        </m:r>
        <m:d>
          <m:dPr>
            <m:ctrlPr>
              <w:rPr>
                <w:rFonts w:ascii="Cambria Math" w:hAnsi="Cambria Math" w:cs="Times New Roman"/>
                <w:i/>
                <w:sz w:val="20"/>
                <w:szCs w:val="20"/>
              </w:rPr>
            </m:ctrlPr>
          </m:dPr>
          <m:e>
            <m:r>
              <w:rPr>
                <w:rFonts w:ascii="Cambria Math" w:hAnsi="Cambria Math" w:cs="Times New Roman"/>
                <w:sz w:val="20"/>
                <w:szCs w:val="20"/>
              </w:rPr>
              <m:t>n+k+∆+</m:t>
            </m:r>
            <m:f>
              <m:fPr>
                <m:type m:val="lin"/>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m:t>
                    </m:r>
                    <m:ctrlPr>
                      <w:rPr>
                        <w:rFonts w:ascii="Cambria Math" w:hAnsi="Cambria Math" w:cs="Times New Roman"/>
                        <w:i/>
                        <w:sz w:val="20"/>
                        <w:szCs w:val="20"/>
                      </w:rPr>
                    </m:ctrlPr>
                  </m:sub>
                </m:sSub>
                <m:ctrlPr>
                  <w:rPr>
                    <w:rFonts w:ascii="Cambria Math" w:hAnsi="Cambria Math" w:cs="Times New Roman"/>
                    <w:i/>
                    <w:sz w:val="20"/>
                    <w:szCs w:val="20"/>
                  </w:rPr>
                </m:ctrlPr>
              </m:num>
              <m:den>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slot</m:t>
                    </m:r>
                    <m:ctrlPr>
                      <w:rPr>
                        <w:rFonts w:ascii="Cambria Math" w:hAnsi="Cambria Math" w:cs="Times New Roman"/>
                        <w:i/>
                        <w:sz w:val="20"/>
                        <w:szCs w:val="20"/>
                      </w:rPr>
                    </m:ctrlPr>
                  </m:sub>
                </m:sSub>
                <m:ctrlPr>
                  <w:rPr>
                    <w:rFonts w:ascii="Cambria Math" w:hAnsi="Cambria Math" w:cs="Times New Roman"/>
                    <w:i/>
                    <w:sz w:val="20"/>
                    <w:szCs w:val="20"/>
                  </w:rPr>
                </m:ctrlPr>
              </m:den>
            </m:f>
            <m:ctrlPr>
              <w:rPr>
                <w:rFonts w:ascii="Cambria Math" w:hAnsi="Cambria Math" w:cs="Times New Roman"/>
                <w:i/>
                <w:sz w:val="20"/>
                <w:szCs w:val="20"/>
              </w:rPr>
            </m:ctrlPr>
          </m:e>
        </m:d>
      </m:oMath>
      <w:r>
        <w:rPr>
          <w:rFonts w:ascii="Times New Roman" w:hAnsi="Times New Roman" w:cs="Times New Roman"/>
          <w:sz w:val="20"/>
          <w:szCs w:val="20"/>
        </w:rPr>
        <w:t xml:space="preserve"> where </w:t>
      </w:r>
      <m:oMath>
        <m:r>
          <w:rPr>
            <w:rFonts w:ascii="Cambria Math" w:hAnsi="Cambria Math" w:cs="Times New Roman"/>
            <w:sz w:val="20"/>
            <w:szCs w:val="20"/>
          </w:rPr>
          <m:t>n</m:t>
        </m:r>
      </m:oMath>
      <w:r>
        <w:rPr>
          <w:rFonts w:ascii="Times New Roman" w:hAnsi="Times New Roman" w:cs="Times New Roman"/>
          <w:sz w:val="20"/>
          <w:szCs w:val="20"/>
        </w:rPr>
        <w:t xml:space="preserve"> is a slot of the PDSCH reception, </w:t>
      </w:r>
      <m:oMath>
        <m:r>
          <w:rPr>
            <w:rFonts w:ascii="Cambria Math" w:hAnsi="Cambria Math" w:cs="Times New Roman"/>
            <w:sz w:val="20"/>
            <w:szCs w:val="20"/>
          </w:rPr>
          <m:t>∆</m:t>
        </m:r>
      </m:oMath>
      <w:r>
        <w:rPr>
          <w:rFonts w:ascii="Times New Roman" w:hAnsi="Times New Roman" w:cs="Times New Roman"/>
          <w:sz w:val="20"/>
          <w:szCs w:val="20"/>
        </w:rPr>
        <w:t xml:space="preserve"> is as defined for PUSCH transmission in Table 6.1.2.1.1-5 of [6, TS 38.214], and </w:t>
      </w:r>
      <m:oMath>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m:t>
            </m:r>
            <m:ctrlPr>
              <w:rPr>
                <w:rFonts w:ascii="Cambria Math" w:hAnsi="Cambria Math" w:cs="Times New Roman"/>
                <w:i/>
                <w:sz w:val="20"/>
                <w:szCs w:val="20"/>
              </w:rPr>
            </m:ctrlPr>
          </m:sub>
        </m:sSub>
        <m:r>
          <w:rPr>
            <w:rFonts w:ascii="Cambria Math" w:hAnsi="Cambria Math" w:cs="Times New Roman"/>
            <w:sz w:val="20"/>
            <w:szCs w:val="20"/>
          </w:rPr>
          <m:t>≥0</m:t>
        </m:r>
      </m:oMath>
    </w:p>
    <w:p>
      <w:pPr>
        <w:pStyle w:val="80"/>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eastAsia="Calibri" w:cs="Times New Roman"/>
          <w:sz w:val="20"/>
          <w:szCs w:val="20"/>
        </w:rPr>
        <w:t xml:space="preserve">the UE does not expect the first symbol of the PUCCH transmission to be after the last symbol of the PDSCH reception by a time smaller than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w:rPr>
                <w:rFonts w:ascii="Cambria Math" w:hAnsi="Cambria Math" w:cs="Times New Roman"/>
                <w:sz w:val="20"/>
                <w:szCs w:val="20"/>
              </w:rPr>
              <m:t>T,1</m:t>
            </m:r>
            <m:ctrlPr>
              <w:rPr>
                <w:rFonts w:ascii="Cambria Math" w:hAnsi="Cambria Math" w:cs="Times New Roman"/>
                <w:i/>
                <w:sz w:val="20"/>
                <w:szCs w:val="20"/>
              </w:rPr>
            </m:ctrlPr>
          </m:sub>
        </m:sSub>
        <m:r>
          <w:rPr>
            <w:rFonts w:ascii="Cambria Math" w:hAnsi="Cambria Math" w:cs="Times New Roman"/>
            <w:sz w:val="20"/>
            <w:szCs w:val="20"/>
          </w:rPr>
          <m:t>+0.5+</m:t>
        </m:r>
        <m:sSub>
          <m:sSubPr>
            <m:ctrlPr>
              <w:rPr>
                <w:rFonts w:ascii="Cambria Math" w:hAnsi="Cambria Math" w:cs="Times New Roman"/>
                <w:i/>
                <w:sz w:val="20"/>
                <w:szCs w:val="20"/>
              </w:rPr>
            </m:ctrlPr>
          </m:sSubPr>
          <m:e>
            <m:r>
              <w:rPr>
                <w:rFonts w:ascii="Cambria Math" w:hAnsi="Cambria Math" w:cs="Times New Roman"/>
                <w:sz w:val="20"/>
                <w:szCs w:val="20"/>
              </w:rPr>
              <m:t>t</m:t>
            </m:r>
            <m:ctrlPr>
              <w:rPr>
                <w:rFonts w:ascii="Cambria Math" w:hAnsi="Cambria Math" w:cs="Times New Roman"/>
                <w:i/>
                <w:sz w:val="20"/>
                <w:szCs w:val="20"/>
              </w:rPr>
            </m:ctrlPr>
          </m:e>
          <m:sub>
            <m:r>
              <w:rPr>
                <w:rFonts w:ascii="Cambria Math" w:hAnsi="Cambria Math" w:cs="Times New Roman"/>
                <w:sz w:val="20"/>
                <w:szCs w:val="20"/>
              </w:rPr>
              <m:t>∆</m:t>
            </m:r>
            <m:ctrlPr>
              <w:rPr>
                <w:rFonts w:ascii="Cambria Math" w:hAnsi="Cambria Math" w:cs="Times New Roman"/>
                <w:i/>
                <w:sz w:val="20"/>
                <w:szCs w:val="20"/>
              </w:rPr>
            </m:ctrlPr>
          </m:sub>
        </m:sSub>
      </m:oMath>
      <w:r>
        <w:rPr>
          <w:rFonts w:ascii="Times New Roman" w:hAnsi="Times New Roman" w:eastAsia="Calibri" w:cs="Times New Roman"/>
          <w:sz w:val="20"/>
          <w:szCs w:val="20"/>
        </w:rPr>
        <w:t xml:space="preserve"> msec where </w:t>
      </w:r>
      <m:oMath>
        <m:sSub>
          <m:sSubPr>
            <m:ctrlPr>
              <w:rPr>
                <w:rFonts w:ascii="Cambria Math" w:hAnsi="Cambria Math" w:cs="Times New Roman"/>
                <w:i/>
                <w:sz w:val="20"/>
                <w:szCs w:val="20"/>
              </w:rPr>
            </m:ctrlPr>
          </m:sSubPr>
          <m:e>
            <m:r>
              <w:rPr>
                <w:rFonts w:ascii="Cambria Math" w:hAnsi="Cambria Math" w:cs="Times New Roman"/>
                <w:sz w:val="20"/>
                <w:szCs w:val="20"/>
              </w:rPr>
              <m:t>N</m:t>
            </m:r>
            <m:ctrlPr>
              <w:rPr>
                <w:rFonts w:ascii="Cambria Math" w:hAnsi="Cambria Math" w:cs="Times New Roman"/>
                <w:i/>
                <w:sz w:val="20"/>
                <w:szCs w:val="20"/>
              </w:rPr>
            </m:ctrlPr>
          </m:e>
          <m:sub>
            <m:r>
              <w:rPr>
                <w:rFonts w:ascii="Cambria Math" w:hAnsi="Cambria Math" w:cs="Times New Roman"/>
                <w:sz w:val="20"/>
                <w:szCs w:val="20"/>
              </w:rPr>
              <m:t>T,1</m:t>
            </m:r>
            <m:ctrlPr>
              <w:rPr>
                <w:rFonts w:ascii="Cambria Math" w:hAnsi="Cambria Math" w:cs="Times New Roman"/>
                <w:i/>
                <w:sz w:val="20"/>
                <w:szCs w:val="20"/>
              </w:rPr>
            </m:ctrlPr>
          </m:sub>
        </m:sSub>
      </m:oMath>
      <w:r>
        <w:rPr>
          <w:rFonts w:ascii="Times New Roman" w:hAnsi="Times New Roman" w:eastAsia="Calibri" w:cs="Times New Roman"/>
          <w:sz w:val="20"/>
          <w:szCs w:val="20"/>
        </w:rPr>
        <w:t xml:space="preserve"> </w:t>
      </w:r>
      <w:r>
        <w:rPr>
          <w:rFonts w:ascii="Times New Roman" w:hAnsi="Times New Roman" w:cs="Times New Roman"/>
          <w:sz w:val="20"/>
          <w:szCs w:val="20"/>
        </w:rPr>
        <w:t>is the PDSCH processing time for UE processing capability 1 [6, TS 38.214]</w:t>
      </w:r>
    </w:p>
    <w:p>
      <w:pPr>
        <w:pStyle w:val="58"/>
        <w:jc w:val="both"/>
        <w:rPr>
          <w:rFonts w:ascii="Times New Roman" w:hAnsi="Times New Roman" w:eastAsia="Calibri"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r>
        <w:rPr>
          <w:rFonts w:ascii="Times New Roman" w:hAnsi="Times New Roman" w:eastAsia="Calibri" w:cs="Times New Roman"/>
          <w:sz w:val="20"/>
          <w:szCs w:val="20"/>
        </w:rPr>
        <w:t>the PUCCH transmission is with a</w:t>
      </w:r>
      <w:r>
        <w:rPr>
          <w:rFonts w:ascii="Times New Roman" w:hAnsi="Times New Roman" w:cs="Times New Roman"/>
          <w:sz w:val="20"/>
          <w:szCs w:val="20"/>
        </w:rPr>
        <w:t xml:space="preserve"> same spatial domain transmission filter and in a same active UL BWP </w:t>
      </w:r>
      <w:r>
        <w:rPr>
          <w:rFonts w:ascii="Times New Roman" w:hAnsi="Times New Roman" w:cs="Times New Roman"/>
          <w:bCs/>
          <w:sz w:val="20"/>
          <w:szCs w:val="20"/>
        </w:rPr>
        <w:t>as a last PUSCH transmission</w:t>
      </w:r>
    </w:p>
    <w:p>
      <w:pPr>
        <w:jc w:val="both"/>
      </w:pPr>
      <w:r>
        <w:t>If the UE detects the DCI format 1_0 with CRC scrambled by a C-RNTI and a transport block in a corresponding PDSCH within the window, the UE transmits a PUCCH with HARQ-ACK information having ACK value if the UE correctly detects the transport block or NACK value if the UE incorrectly detects the transport block and the time alignment timer is running [</w:t>
      </w:r>
      <w:r>
        <w:rPr>
          <w:lang w:val="en-US"/>
        </w:rPr>
        <w:t>11, TS 38.321</w:t>
      </w:r>
      <w:r>
        <w:t xml:space="preserve">]. </w:t>
      </w:r>
    </w:p>
    <w:p>
      <w:pPr>
        <w:jc w:val="both"/>
        <w:rPr>
          <w:lang w:val="en-US"/>
        </w:rPr>
      </w:pPr>
      <w:r>
        <w:t xml:space="preserve">The UE does not expect to be indicated to transmit the PUCCH with the HARQ-ACK information at a time that is prior to a time when the UE applies a TA command that is provided by the transport block.If the UE does not detect the DCI format 1_0 with CRC scrambled by the corresponding </w:t>
      </w:r>
      <w:r>
        <w:rPr>
          <w:color w:val="auto"/>
        </w:rPr>
        <w:t xml:space="preserve">MSGB-RNTI </w:t>
      </w:r>
      <w:ins w:id="32" w:author="ZTE Yang Ling" w:date="2020-04-08T18:29:10Z">
        <w:r>
          <w:rPr>
            <w:color w:val="auto"/>
          </w:rPr>
          <w:t>or if the DCI does not include the two LSB bits of SFN corresponding to the PRACH occasion used to transmit the MSGA preamble</w:t>
        </w:r>
      </w:ins>
      <w:r>
        <w:t xml:space="preserve">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only PRACH according to Type-1 random access procedure or to transmit both PRACH and PUSCH according to Type-2 random access procedure [</w:t>
      </w:r>
      <w:r>
        <w:rPr>
          <w:lang w:val="en-US"/>
        </w:rPr>
        <w:t>11, TS 38.321</w:t>
      </w:r>
      <w:r>
        <w:t xml:space="preserve">]. </w:t>
      </w:r>
      <w:r>
        <w:rPr>
          <w:lang w:val="en-US"/>
        </w:rPr>
        <w:t xml:space="preserve">If requested by higher layers, </w:t>
      </w:r>
      <w:r>
        <w:t xml:space="preserve">the UE is expected to transmit a PRACH no later than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T,1</m:t>
            </m:r>
            <m:ctrlPr>
              <w:rPr>
                <w:rFonts w:ascii="Cambria Math" w:hAnsi="Cambria Math"/>
              </w:rPr>
            </m:ctrlPr>
          </m:sub>
        </m:sSub>
        <m:r>
          <w:rPr>
            <w:rFonts w:ascii="Cambria Math"/>
          </w:rPr>
          <m:t>+0.75</m:t>
        </m:r>
      </m:oMath>
      <w:r>
        <w:t xml:space="preserve"> </w:t>
      </w:r>
      <w:r>
        <w:rPr>
          <w:lang w:val="en-US"/>
        </w:rPr>
        <w:t xml:space="preserve">msec </w:t>
      </w:r>
      <w:r>
        <w:t>after the last symbol of the window, or the last symbol of the PDSCH reception,</w:t>
      </w:r>
      <w:r>
        <w:rPr>
          <w:lang w:val="en-US"/>
        </w:rPr>
        <w:t xml:space="preserve"> where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T,1</m:t>
            </m:r>
            <m:ctrlPr>
              <w:rPr>
                <w:rFonts w:ascii="Cambria Math" w:hAnsi="Cambria Math"/>
              </w:rPr>
            </m:ctrlPr>
          </m:sub>
        </m:sSub>
      </m:oMath>
      <w:r>
        <w:t xml:space="preserve"> is a time duration of </w:t>
      </w:r>
      <m:oMath>
        <m:sSub>
          <m:sSubPr>
            <m:ctrlPr>
              <w:rPr>
                <w:rFonts w:ascii="Cambria Math" w:hAnsi="Cambria Math"/>
                <w:i/>
              </w:rPr>
            </m:ctrlPr>
          </m:sSubPr>
          <m:e>
            <m:r>
              <w:rPr>
                <w:rFonts w:ascii="Cambria Math"/>
              </w:rPr>
              <m:t>N</m:t>
            </m:r>
            <m:ctrlPr>
              <w:rPr>
                <w:rFonts w:ascii="Cambria Math" w:hAnsi="Cambria Math"/>
                <w:i/>
              </w:rPr>
            </m:ctrlPr>
          </m:e>
          <m:sub>
            <m:r>
              <w:rPr>
                <w:rFonts w:ascii="Cambria Math"/>
              </w:rPr>
              <m:t>1</m:t>
            </m:r>
            <m:ctrlPr>
              <w:rPr>
                <w:rFonts w:ascii="Cambria Math" w:hAnsi="Cambria Math"/>
                <w:i/>
              </w:rPr>
            </m:ctrlPr>
          </m:sub>
        </m:sSub>
      </m:oMath>
      <w:r>
        <w:t xml:space="preserve"> symbols corresponding to a PDSCH processing time for UE processing capability 1 when additional PDSCH DM-RS is configured</w:t>
      </w:r>
      <w:r>
        <w:rPr>
          <w:lang w:val="en-US"/>
        </w:rPr>
        <w:t xml:space="preserve">. </w:t>
      </w:r>
      <w:r>
        <w:t xml:space="preserve">For </w:t>
      </w:r>
      <m:oMath>
        <m:r>
          <w:rPr>
            <w:rFonts w:ascii="Cambria Math"/>
          </w:rPr>
          <m:t>μ=0</m:t>
        </m:r>
      </m:oMath>
      <w:r>
        <w:t xml:space="preserve">, the UE assumes </w:t>
      </w:r>
      <m:oMath>
        <m:sSub>
          <m:sSubPr>
            <m:ctrlPr>
              <w:rPr>
                <w:rFonts w:ascii="Cambria Math" w:hAnsi="Cambria Math"/>
                <w:i/>
              </w:rPr>
            </m:ctrlPr>
          </m:sSubPr>
          <m:e>
            <m:r>
              <w:rPr>
                <w:rFonts w:ascii="Cambria Math"/>
              </w:rPr>
              <m:t>N</m:t>
            </m:r>
            <m:ctrlPr>
              <w:rPr>
                <w:rFonts w:ascii="Cambria Math" w:hAnsi="Cambria Math"/>
                <w:i/>
              </w:rPr>
            </m:ctrlPr>
          </m:e>
          <m:sub>
            <m:r>
              <m:rPr>
                <m:nor/>
                <m:sty m:val="p"/>
              </m:rPr>
              <w:rPr>
                <w:rFonts w:ascii="Cambria Math"/>
                <w:b w:val="0"/>
                <w:i w:val="0"/>
              </w:rPr>
              <m:t>1,0</m:t>
            </m:r>
            <m:ctrlPr>
              <w:rPr>
                <w:rFonts w:ascii="Cambria Math" w:hAnsi="Cambria Math"/>
              </w:rPr>
            </m:ctrlPr>
          </m:sub>
        </m:sSub>
        <m:r>
          <w:rPr>
            <w:rFonts w:ascii="Cambria Math"/>
          </w:rPr>
          <m:t>=14</m:t>
        </m:r>
      </m:oMath>
      <w:r>
        <w:t xml:space="preserve"> [6, TS 38.214]</w:t>
      </w:r>
      <w:r>
        <w:rPr>
          <w:lang w:val="en-US"/>
        </w:rPr>
        <w:t>.</w:t>
      </w:r>
    </w:p>
    <w:p>
      <w:pPr>
        <w:jc w:val="both"/>
      </w:pPr>
      <w:r>
        <w:t>Unless the UE is configured a SCS, the UE receives subsequent PDSCH using same SCS as for the PDSCH reception providing the RAR message.</w:t>
      </w:r>
    </w:p>
    <w:p>
      <w:pPr>
        <w:jc w:val="both"/>
      </w:pPr>
      <w:r>
        <w:t>If the UE does not detect the DCI format with CRC scrambled by the corresponding MSGB-RNTI</w:t>
      </w:r>
      <w:ins w:id="33" w:author="ZTE Yang Ling" w:date="2020-04-08T18:30:26Z">
        <w:r>
          <w:rPr>
            <w:rFonts w:hint="eastAsia" w:eastAsia="宋体"/>
            <w:lang w:val="en-US" w:eastAsia="zh-CN"/>
          </w:rPr>
          <w:t xml:space="preserve"> </w:t>
        </w:r>
      </w:ins>
      <w:ins w:id="34" w:author="ZTE Yang Ling" w:date="2020-04-08T18:30:26Z">
        <w:r>
          <w:rPr>
            <w:color w:val="auto"/>
          </w:rPr>
          <w:t xml:space="preserve">or if the DCI does not </w:t>
        </w:r>
      </w:ins>
      <w:ins w:id="35" w:author="ZTE Yang Ling" w:date="2020-04-08T18:30:26Z">
        <w:r>
          <w:rPr>
            <w:color w:val="FF0000"/>
          </w:rPr>
          <w:t>include the two LSB bits of SFN corresponding to the PRACH occasion used to transmit the MSGA preamble</w:t>
        </w:r>
      </w:ins>
      <w:r>
        <w:rPr>
          <w:color w:val="auto"/>
        </w:rPr>
        <w:t>,</w:t>
      </w:r>
      <w:r>
        <w:t xml:space="preserve"> or the UE does not correctly receive a corresponding transport block within the window, the UE procedure is as described in [</w:t>
      </w:r>
      <w:r>
        <w:rPr>
          <w:lang w:val="en-US"/>
        </w:rPr>
        <w:t>11, TS 38.321</w:t>
      </w:r>
      <w:r>
        <w:t>].</w:t>
      </w:r>
    </w:p>
    <w:p>
      <w:pPr>
        <w:jc w:val="center"/>
        <w:rPr>
          <w:color w:val="FF0000"/>
        </w:rPr>
      </w:pPr>
      <w:r>
        <w:rPr>
          <w:color w:val="FF0000"/>
        </w:rPr>
        <w:t>&lt;unchanged part omitted&gt;</w:t>
      </w:r>
    </w:p>
    <w:p>
      <w:pPr>
        <w:rPr>
          <w:rFonts w:eastAsia="宋体"/>
          <w:i/>
          <w:iCs/>
          <w:sz w:val="21"/>
          <w:szCs w:val="21"/>
          <w:lang w:val="en-US" w:eastAsia="zh-CN"/>
        </w:rPr>
      </w:pPr>
      <w:r>
        <w:t xml:space="preserve">--------------------------------------------------------- </w:t>
      </w:r>
      <w:r>
        <w:rPr>
          <w:rFonts w:hint="eastAsia" w:eastAsia="宋体"/>
          <w:lang w:val="en-US" w:eastAsia="zh-CN"/>
        </w:rPr>
        <w:t>End</w:t>
      </w:r>
      <w:r>
        <w:t xml:space="preserve"> of TP --------------------------------------------------------</w:t>
      </w:r>
      <w:r>
        <w:rPr>
          <w:rFonts w:hint="eastAsia" w:eastAsia="宋体"/>
          <w:lang w:val="en-US" w:eastAsia="zh-CN"/>
        </w:rPr>
        <w:t>--------------</w:t>
      </w:r>
    </w:p>
    <w:bookmarkEnd w:id="5"/>
    <w:p>
      <w:pPr>
        <w:pStyle w:val="124"/>
        <w:spacing w:after="300" w:line="260" w:lineRule="auto"/>
        <w:ind w:left="0"/>
        <w:rPr>
          <w:i/>
          <w:iCs/>
          <w:sz w:val="21"/>
          <w:szCs w:val="21"/>
          <w:lang w:val="en-US" w:eastAsia="zh-CN"/>
        </w:rPr>
      </w:pP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Conclusion</w:t>
      </w:r>
    </w:p>
    <w:p>
      <w:pPr>
        <w:jc w:val="both"/>
        <w:rPr>
          <w:lang w:val="en-US" w:eastAsia="zh-CN"/>
        </w:rPr>
      </w:pPr>
      <w:r>
        <w:rPr>
          <w:rFonts w:hint="eastAsia"/>
          <w:lang w:val="en-US" w:eastAsia="zh-CN"/>
        </w:rPr>
        <w:t>In this contribution, we have discussed the RAN2 LS on random access procedure in NR-U. Based on this, the following proposal is provided:</w:t>
      </w:r>
    </w:p>
    <w:p>
      <w:pPr>
        <w:spacing w:before="120" w:beforeLines="50" w:after="120" w:afterLines="50"/>
        <w:jc w:val="both"/>
        <w:rPr>
          <w:rFonts w:hint="eastAsia"/>
          <w:b/>
          <w:bCs/>
          <w:i w:val="0"/>
          <w:iCs w:val="0"/>
          <w:sz w:val="20"/>
          <w:szCs w:val="20"/>
          <w:lang w:val="en-US" w:eastAsia="zh-CN"/>
        </w:rPr>
      </w:pPr>
      <w:r>
        <w:rPr>
          <w:rFonts w:hint="eastAsia"/>
          <w:b/>
          <w:bCs/>
          <w:sz w:val="20"/>
          <w:szCs w:val="20"/>
          <w:lang w:val="en-US" w:eastAsia="zh-CN"/>
        </w:rPr>
        <w:t xml:space="preserve">Proposal 1: </w:t>
      </w:r>
      <w:r>
        <w:rPr>
          <w:rFonts w:hint="eastAsia"/>
          <w:b/>
          <w:bCs/>
          <w:i/>
          <w:iCs/>
          <w:sz w:val="20"/>
          <w:szCs w:val="20"/>
          <w:lang w:val="en-US" w:eastAsia="zh-CN"/>
        </w:rPr>
        <w:t>Support and agree capturing the validation of SFN LSBs in Section 8.2 and 8.2A of TS 38.213, respectively.</w:t>
      </w:r>
    </w:p>
    <w:p>
      <w:pPr>
        <w:spacing w:before="120" w:beforeLines="50" w:after="120" w:afterLines="50" w:line="260" w:lineRule="auto"/>
        <w:rPr>
          <w:b/>
          <w:bCs/>
          <w:lang w:val="en-US" w:eastAsia="zh-CN"/>
        </w:rPr>
      </w:pPr>
    </w:p>
    <w:bookmarkEnd w:id="1"/>
    <w:bookmarkEnd w:id="2"/>
    <w:bookmarkEnd w:id="3"/>
    <w:bookmarkEnd w:id="4"/>
    <w:p>
      <w:pPr>
        <w:pStyle w:val="2"/>
        <w:spacing w:before="120" w:after="120" w:line="240" w:lineRule="auto"/>
        <w:jc w:val="both"/>
        <w:rPr>
          <w:rFonts w:ascii="Times New Roman" w:hAnsi="Times New Roman" w:eastAsia="宋体"/>
          <w:b/>
          <w:sz w:val="32"/>
          <w:szCs w:val="32"/>
          <w:lang w:val="en-US" w:eastAsia="zh-CN"/>
        </w:rPr>
      </w:pPr>
      <w:bookmarkStart w:id="26" w:name="IDX-CHP-8-0994"/>
      <w:bookmarkEnd w:id="26"/>
      <w:bookmarkStart w:id="27" w:name="IDX-CHP-8-0995"/>
      <w:bookmarkEnd w:id="27"/>
      <w:bookmarkStart w:id="28" w:name="IDX-CHP-8-0996"/>
      <w:bookmarkEnd w:id="28"/>
      <w:bookmarkStart w:id="29" w:name="IDX-CHP-8-0993"/>
      <w:bookmarkEnd w:id="29"/>
      <w:bookmarkStart w:id="30" w:name="IDX-CHP-8-0992"/>
      <w:bookmarkEnd w:id="30"/>
      <w:r>
        <w:rPr>
          <w:rFonts w:hint="eastAsia" w:ascii="Times New Roman" w:hAnsi="Times New Roman" w:eastAsia="宋体"/>
          <w:b/>
          <w:sz w:val="32"/>
          <w:szCs w:val="32"/>
          <w:lang w:val="en-US" w:eastAsia="zh-CN"/>
        </w:rPr>
        <w:t xml:space="preserve"> Reference</w:t>
      </w:r>
    </w:p>
    <w:bookmarkEnd w:id="0"/>
    <w:p>
      <w:pPr>
        <w:widowControl w:val="0"/>
        <w:numPr>
          <w:ilvl w:val="0"/>
          <w:numId w:val="10"/>
        </w:numPr>
        <w:autoSpaceDE w:val="0"/>
        <w:autoSpaceDN w:val="0"/>
        <w:adjustRightInd w:val="0"/>
        <w:spacing w:before="120" w:beforeLines="50" w:after="120" w:afterLines="50" w:line="240" w:lineRule="auto"/>
        <w:jc w:val="both"/>
        <w:rPr>
          <w:rFonts w:eastAsia="宋体"/>
          <w:sz w:val="22"/>
          <w:szCs w:val="22"/>
          <w:lang w:val="en-US" w:eastAsia="zh-CN"/>
        </w:rPr>
      </w:pPr>
      <w:r>
        <w:rPr>
          <w:rFonts w:hint="eastAsia" w:eastAsia="宋体"/>
          <w:lang w:val="en-US" w:eastAsia="zh-CN"/>
        </w:rPr>
        <w:t xml:space="preserve">R2-2002196, LS on random access procedure in NR-U, interdigital, March, 2020 </w:t>
      </w:r>
    </w:p>
    <w:p>
      <w:pPr>
        <w:widowControl w:val="0"/>
        <w:autoSpaceDE w:val="0"/>
        <w:autoSpaceDN w:val="0"/>
        <w:adjustRightInd w:val="0"/>
        <w:spacing w:before="60" w:after="60" w:line="240"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1</w:t>
    </w:r>
    <w:r>
      <w:rPr>
        <w:rFonts w:ascii="Times New Roman" w:hAnsi="Times New Roman"/>
        <w:b w:val="0"/>
        <w:i w:val="0"/>
      </w:rPr>
      <w:fldChar w:fldCharType="end"/>
    </w:r>
  </w:p>
  <w:p>
    <w:pPr>
      <w:pStyle w:val="1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7">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7"/>
  </w:num>
  <w:num w:numId="4">
    <w:abstractNumId w:val="9"/>
  </w:num>
  <w:num w:numId="5">
    <w:abstractNumId w:val="3"/>
  </w:num>
  <w:num w:numId="6">
    <w:abstractNumId w:val="6"/>
  </w:num>
  <w:num w:numId="7">
    <w:abstractNumId w:val="4"/>
  </w:num>
  <w:num w:numId="8">
    <w:abstractNumId w:val="1"/>
  </w:num>
  <w:num w:numId="9">
    <w:abstractNumId w:val="8"/>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Yang Ling">
    <w15:presenceInfo w15:providerId="None" w15:userId="ZTE 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trackRevisions w:val="1"/>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F2B82"/>
    <w:rsid w:val="03E0522E"/>
    <w:rsid w:val="03F65997"/>
    <w:rsid w:val="03F719F0"/>
    <w:rsid w:val="04066AB8"/>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584F33"/>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20E77"/>
    <w:rsid w:val="09134CB1"/>
    <w:rsid w:val="09275714"/>
    <w:rsid w:val="093120ED"/>
    <w:rsid w:val="09340639"/>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269CD"/>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057A4"/>
    <w:rsid w:val="0CEA4514"/>
    <w:rsid w:val="0CED5790"/>
    <w:rsid w:val="0D02400E"/>
    <w:rsid w:val="0D0C6566"/>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6C1967"/>
    <w:rsid w:val="1277751E"/>
    <w:rsid w:val="12982522"/>
    <w:rsid w:val="12B43182"/>
    <w:rsid w:val="12B46A84"/>
    <w:rsid w:val="12BA0258"/>
    <w:rsid w:val="12C625B4"/>
    <w:rsid w:val="12D35644"/>
    <w:rsid w:val="12FE32F7"/>
    <w:rsid w:val="13002861"/>
    <w:rsid w:val="13105018"/>
    <w:rsid w:val="131C5CF6"/>
    <w:rsid w:val="13227EB1"/>
    <w:rsid w:val="132707AB"/>
    <w:rsid w:val="13400045"/>
    <w:rsid w:val="1355648A"/>
    <w:rsid w:val="136F49A1"/>
    <w:rsid w:val="13783516"/>
    <w:rsid w:val="137C2658"/>
    <w:rsid w:val="137E142A"/>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BF4133"/>
    <w:rsid w:val="14C155EF"/>
    <w:rsid w:val="14C82B34"/>
    <w:rsid w:val="14E04496"/>
    <w:rsid w:val="14EA76A8"/>
    <w:rsid w:val="14EB34AC"/>
    <w:rsid w:val="14EB6105"/>
    <w:rsid w:val="14F2308B"/>
    <w:rsid w:val="14FD6BC6"/>
    <w:rsid w:val="15023448"/>
    <w:rsid w:val="15064D14"/>
    <w:rsid w:val="151B42D6"/>
    <w:rsid w:val="153C511F"/>
    <w:rsid w:val="15404987"/>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460C"/>
    <w:rsid w:val="15C562E2"/>
    <w:rsid w:val="15D03364"/>
    <w:rsid w:val="15DC62AF"/>
    <w:rsid w:val="15DF61C4"/>
    <w:rsid w:val="15F11A48"/>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4212E1"/>
    <w:rsid w:val="197536BB"/>
    <w:rsid w:val="19806D56"/>
    <w:rsid w:val="19864661"/>
    <w:rsid w:val="1993029C"/>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5363F7"/>
    <w:rsid w:val="1A65142D"/>
    <w:rsid w:val="1A6B3616"/>
    <w:rsid w:val="1A872A12"/>
    <w:rsid w:val="1A8D28D6"/>
    <w:rsid w:val="1A8E00E9"/>
    <w:rsid w:val="1A9226AE"/>
    <w:rsid w:val="1AC176FB"/>
    <w:rsid w:val="1AC837C1"/>
    <w:rsid w:val="1AD03F0F"/>
    <w:rsid w:val="1AE82E43"/>
    <w:rsid w:val="1AFC1C91"/>
    <w:rsid w:val="1B074DA9"/>
    <w:rsid w:val="1B095903"/>
    <w:rsid w:val="1B0C26CA"/>
    <w:rsid w:val="1B135D29"/>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CFB7A1C"/>
    <w:rsid w:val="1D1D2D86"/>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E4381"/>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9D196F"/>
    <w:rsid w:val="22A91330"/>
    <w:rsid w:val="22B34785"/>
    <w:rsid w:val="22B45A21"/>
    <w:rsid w:val="22B93637"/>
    <w:rsid w:val="22D04F77"/>
    <w:rsid w:val="22F149E7"/>
    <w:rsid w:val="23151BBD"/>
    <w:rsid w:val="232064A5"/>
    <w:rsid w:val="232A5F2C"/>
    <w:rsid w:val="234902A8"/>
    <w:rsid w:val="234A49FF"/>
    <w:rsid w:val="2352170F"/>
    <w:rsid w:val="23533331"/>
    <w:rsid w:val="23537622"/>
    <w:rsid w:val="236739BC"/>
    <w:rsid w:val="237E0DFB"/>
    <w:rsid w:val="237E7F63"/>
    <w:rsid w:val="238718C4"/>
    <w:rsid w:val="238C26AF"/>
    <w:rsid w:val="23A60BED"/>
    <w:rsid w:val="23AF20CF"/>
    <w:rsid w:val="23BE0C34"/>
    <w:rsid w:val="23EE567F"/>
    <w:rsid w:val="23FE39DA"/>
    <w:rsid w:val="2409287D"/>
    <w:rsid w:val="241B4EFA"/>
    <w:rsid w:val="2422724B"/>
    <w:rsid w:val="242B3B37"/>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75745E"/>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922"/>
    <w:rsid w:val="276E5D6B"/>
    <w:rsid w:val="276F6AD9"/>
    <w:rsid w:val="277C70AE"/>
    <w:rsid w:val="278630A6"/>
    <w:rsid w:val="2786663F"/>
    <w:rsid w:val="27B947C2"/>
    <w:rsid w:val="27BA2CFE"/>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24C33"/>
    <w:rsid w:val="29242AD0"/>
    <w:rsid w:val="29251C92"/>
    <w:rsid w:val="29352E7A"/>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26DD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9647DB"/>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E304DC"/>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2644C"/>
    <w:rsid w:val="33D81A4C"/>
    <w:rsid w:val="33DF4467"/>
    <w:rsid w:val="33FC5728"/>
    <w:rsid w:val="340636B9"/>
    <w:rsid w:val="34086B9E"/>
    <w:rsid w:val="34100C1C"/>
    <w:rsid w:val="3424694F"/>
    <w:rsid w:val="342F6D32"/>
    <w:rsid w:val="3442587D"/>
    <w:rsid w:val="34516FC2"/>
    <w:rsid w:val="34555684"/>
    <w:rsid w:val="34660FB4"/>
    <w:rsid w:val="346F196C"/>
    <w:rsid w:val="34921202"/>
    <w:rsid w:val="34974D2D"/>
    <w:rsid w:val="34A01296"/>
    <w:rsid w:val="34A72BC4"/>
    <w:rsid w:val="34AD636D"/>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947D35"/>
    <w:rsid w:val="37A30873"/>
    <w:rsid w:val="37A82E6A"/>
    <w:rsid w:val="37AD2BE0"/>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700C2"/>
    <w:rsid w:val="3C19096E"/>
    <w:rsid w:val="3C1957C8"/>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4B0893"/>
    <w:rsid w:val="3D575AE9"/>
    <w:rsid w:val="3D5A3B41"/>
    <w:rsid w:val="3D5F5D82"/>
    <w:rsid w:val="3D60278F"/>
    <w:rsid w:val="3D6636D8"/>
    <w:rsid w:val="3D676FE6"/>
    <w:rsid w:val="3D7D68E8"/>
    <w:rsid w:val="3D816473"/>
    <w:rsid w:val="3D8309F7"/>
    <w:rsid w:val="3D8A2AEC"/>
    <w:rsid w:val="3D924D76"/>
    <w:rsid w:val="3D936176"/>
    <w:rsid w:val="3DA605F1"/>
    <w:rsid w:val="3DB624D6"/>
    <w:rsid w:val="3DC96A91"/>
    <w:rsid w:val="3DCE4212"/>
    <w:rsid w:val="3DE50A71"/>
    <w:rsid w:val="3DE82934"/>
    <w:rsid w:val="3DF15DDC"/>
    <w:rsid w:val="3DF43ED5"/>
    <w:rsid w:val="3E0B107A"/>
    <w:rsid w:val="3E1D3429"/>
    <w:rsid w:val="3E297137"/>
    <w:rsid w:val="3E4B5902"/>
    <w:rsid w:val="3E5E47FF"/>
    <w:rsid w:val="3E620DC8"/>
    <w:rsid w:val="3E650593"/>
    <w:rsid w:val="3E6544EB"/>
    <w:rsid w:val="3E684068"/>
    <w:rsid w:val="3E7F51AE"/>
    <w:rsid w:val="3E895706"/>
    <w:rsid w:val="3E9111B3"/>
    <w:rsid w:val="3EA9033A"/>
    <w:rsid w:val="3EAF72E4"/>
    <w:rsid w:val="3EB3388D"/>
    <w:rsid w:val="3F075FB1"/>
    <w:rsid w:val="3F21691D"/>
    <w:rsid w:val="3F227F5D"/>
    <w:rsid w:val="3F257466"/>
    <w:rsid w:val="3F26233E"/>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34DE1"/>
    <w:rsid w:val="3FEB0F5D"/>
    <w:rsid w:val="3FED37A2"/>
    <w:rsid w:val="3FF76865"/>
    <w:rsid w:val="40097753"/>
    <w:rsid w:val="400A538D"/>
    <w:rsid w:val="401041CC"/>
    <w:rsid w:val="401C0644"/>
    <w:rsid w:val="40385090"/>
    <w:rsid w:val="403D4075"/>
    <w:rsid w:val="40581609"/>
    <w:rsid w:val="4062552B"/>
    <w:rsid w:val="406D3F31"/>
    <w:rsid w:val="40762F0A"/>
    <w:rsid w:val="40765E8A"/>
    <w:rsid w:val="407E641B"/>
    <w:rsid w:val="40825976"/>
    <w:rsid w:val="4084632A"/>
    <w:rsid w:val="40C23D90"/>
    <w:rsid w:val="40D00C0D"/>
    <w:rsid w:val="40D01ACC"/>
    <w:rsid w:val="40D14D78"/>
    <w:rsid w:val="40E11F2D"/>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415C"/>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204EC9"/>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43F03"/>
    <w:rsid w:val="4DEB5692"/>
    <w:rsid w:val="4DF17B7F"/>
    <w:rsid w:val="4DF62A72"/>
    <w:rsid w:val="4DF71177"/>
    <w:rsid w:val="4E015F8B"/>
    <w:rsid w:val="4E0A7662"/>
    <w:rsid w:val="4E1247BC"/>
    <w:rsid w:val="4E15259A"/>
    <w:rsid w:val="4E163912"/>
    <w:rsid w:val="4E192019"/>
    <w:rsid w:val="4E1C4AEB"/>
    <w:rsid w:val="4E283BF9"/>
    <w:rsid w:val="4E3F2E3C"/>
    <w:rsid w:val="4E4D1D53"/>
    <w:rsid w:val="4E7A2E8A"/>
    <w:rsid w:val="4E9373C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93D18"/>
    <w:rsid w:val="512C327D"/>
    <w:rsid w:val="514329D6"/>
    <w:rsid w:val="514532E2"/>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E6725"/>
    <w:rsid w:val="52056978"/>
    <w:rsid w:val="520D1F5C"/>
    <w:rsid w:val="521B0709"/>
    <w:rsid w:val="521F5463"/>
    <w:rsid w:val="522C3822"/>
    <w:rsid w:val="523503EF"/>
    <w:rsid w:val="523A7964"/>
    <w:rsid w:val="523B5943"/>
    <w:rsid w:val="524B64AA"/>
    <w:rsid w:val="52502DC9"/>
    <w:rsid w:val="52547186"/>
    <w:rsid w:val="525C2685"/>
    <w:rsid w:val="526B2DEC"/>
    <w:rsid w:val="526B5EEE"/>
    <w:rsid w:val="527D67A7"/>
    <w:rsid w:val="52A87940"/>
    <w:rsid w:val="52AF3F38"/>
    <w:rsid w:val="52B33948"/>
    <w:rsid w:val="52C93BBE"/>
    <w:rsid w:val="52D05D9C"/>
    <w:rsid w:val="52DF5A77"/>
    <w:rsid w:val="52E2402D"/>
    <w:rsid w:val="52EF180E"/>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747E4"/>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BA3264"/>
    <w:rsid w:val="58C0349D"/>
    <w:rsid w:val="58C94687"/>
    <w:rsid w:val="58DE49F6"/>
    <w:rsid w:val="58F7247A"/>
    <w:rsid w:val="590413BD"/>
    <w:rsid w:val="5919583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8A5A34"/>
    <w:rsid w:val="5A947631"/>
    <w:rsid w:val="5A9F1F6A"/>
    <w:rsid w:val="5AAE1E87"/>
    <w:rsid w:val="5ACC337C"/>
    <w:rsid w:val="5ACF442D"/>
    <w:rsid w:val="5AD87740"/>
    <w:rsid w:val="5ADB4B04"/>
    <w:rsid w:val="5AE67D49"/>
    <w:rsid w:val="5AEC2ADA"/>
    <w:rsid w:val="5AED24DD"/>
    <w:rsid w:val="5AF2382A"/>
    <w:rsid w:val="5AF43314"/>
    <w:rsid w:val="5B0604A3"/>
    <w:rsid w:val="5B1223E2"/>
    <w:rsid w:val="5B162801"/>
    <w:rsid w:val="5B247BFB"/>
    <w:rsid w:val="5B344D84"/>
    <w:rsid w:val="5B52326E"/>
    <w:rsid w:val="5B565B4F"/>
    <w:rsid w:val="5B573DE6"/>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6C5A55"/>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CC7C9F"/>
    <w:rsid w:val="61D12A7D"/>
    <w:rsid w:val="61DD6C29"/>
    <w:rsid w:val="61DD7269"/>
    <w:rsid w:val="61DE687D"/>
    <w:rsid w:val="61F26A42"/>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3208F"/>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30689"/>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E6668E"/>
    <w:rsid w:val="6AF666D5"/>
    <w:rsid w:val="6B11594C"/>
    <w:rsid w:val="6B2E7032"/>
    <w:rsid w:val="6B3413B3"/>
    <w:rsid w:val="6B537D47"/>
    <w:rsid w:val="6B60464B"/>
    <w:rsid w:val="6B681EB2"/>
    <w:rsid w:val="6B696FA9"/>
    <w:rsid w:val="6B6E47D9"/>
    <w:rsid w:val="6B741DC4"/>
    <w:rsid w:val="6B7B1541"/>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92251"/>
    <w:rsid w:val="73FD1FE1"/>
    <w:rsid w:val="74167702"/>
    <w:rsid w:val="741920B7"/>
    <w:rsid w:val="74274051"/>
    <w:rsid w:val="74394C16"/>
    <w:rsid w:val="74397B64"/>
    <w:rsid w:val="743A1D6A"/>
    <w:rsid w:val="744C4300"/>
    <w:rsid w:val="74522ADD"/>
    <w:rsid w:val="74697489"/>
    <w:rsid w:val="747977F5"/>
    <w:rsid w:val="74885903"/>
    <w:rsid w:val="749B420B"/>
    <w:rsid w:val="74A305F8"/>
    <w:rsid w:val="74AE732D"/>
    <w:rsid w:val="74E21D75"/>
    <w:rsid w:val="74EA7314"/>
    <w:rsid w:val="74F308E7"/>
    <w:rsid w:val="74F563DC"/>
    <w:rsid w:val="74FC709B"/>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FC7EA1"/>
    <w:rsid w:val="78030BB3"/>
    <w:rsid w:val="780C4261"/>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47CEF"/>
    <w:rsid w:val="7969335E"/>
    <w:rsid w:val="79707EB6"/>
    <w:rsid w:val="797A3158"/>
    <w:rsid w:val="7993641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B6925"/>
    <w:rsid w:val="7B0B6E35"/>
    <w:rsid w:val="7B17071C"/>
    <w:rsid w:val="7B2D4E59"/>
    <w:rsid w:val="7B3E404B"/>
    <w:rsid w:val="7B3E6F0C"/>
    <w:rsid w:val="7B487574"/>
    <w:rsid w:val="7B5B03C8"/>
    <w:rsid w:val="7B6507F0"/>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D25978"/>
    <w:rsid w:val="7CEC5ADC"/>
    <w:rsid w:val="7CFA373E"/>
    <w:rsid w:val="7CFA3CFB"/>
    <w:rsid w:val="7D000B73"/>
    <w:rsid w:val="7D0047C2"/>
    <w:rsid w:val="7D3D38AB"/>
    <w:rsid w:val="7D413779"/>
    <w:rsid w:val="7D482750"/>
    <w:rsid w:val="7D4E1D3F"/>
    <w:rsid w:val="7D4F55E2"/>
    <w:rsid w:val="7D5C69A3"/>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47374F"/>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20F17"/>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
    <w:qFormat/>
    <w:uiPriority w:val="0"/>
    <w:pPr>
      <w:ind w:left="100" w:leftChars="200" w:hanging="200" w:hangingChars="200"/>
    </w:pPr>
  </w:style>
  <w:style w:type="paragraph" w:styleId="17">
    <w:name w:val="Balloon Text"/>
    <w:basedOn w:val="1"/>
    <w:semiHidden/>
    <w:qFormat/>
    <w:uiPriority w:val="0"/>
    <w:rPr>
      <w:rFonts w:ascii="Tahoma" w:hAnsi="Tahoma" w:cs="Tahoma"/>
      <w:sz w:val="16"/>
      <w:szCs w:val="16"/>
    </w:rPr>
  </w:style>
  <w:style w:type="paragraph" w:styleId="18">
    <w:name w:val="footer"/>
    <w:basedOn w:val="19"/>
    <w:qFormat/>
    <w:uiPriority w:val="0"/>
    <w:pPr>
      <w:jc w:val="center"/>
    </w:pPr>
    <w:rPr>
      <w:i/>
    </w:rPr>
  </w:style>
  <w:style w:type="paragraph" w:styleId="19">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0">
    <w:name w:val="List"/>
    <w:basedOn w:val="1"/>
    <w:qFormat/>
    <w:uiPriority w:val="0"/>
    <w:pPr>
      <w:tabs>
        <w:tab w:val="left" w:pos="425"/>
      </w:tabs>
      <w:ind w:left="425" w:hanging="425"/>
    </w:p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19"/>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20"/>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Caption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Comment Text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10</Pages>
  <Words>3716</Words>
  <Characters>21187</Characters>
  <Lines>176</Lines>
  <Paragraphs>49</Paragraphs>
  <TotalTime>10</TotalTime>
  <ScaleCrop>false</ScaleCrop>
  <LinksUpToDate>false</LinksUpToDate>
  <CharactersWithSpaces>24854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ZTE Yang Ling</cp:lastModifiedBy>
  <cp:lastPrinted>2018-02-16T23:29:00Z</cp:lastPrinted>
  <dcterms:modified xsi:type="dcterms:W3CDTF">2020-04-10T12:25:43Z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